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Arial" w:hAnsi="Arial" w:eastAsia="仿宋_GB2312" w:cs="Arial"/>
          <w:b/>
          <w:color w:val="auto"/>
          <w:sz w:val="52"/>
          <w:szCs w:val="52"/>
          <w:highlight w:val="none"/>
        </w:rPr>
      </w:pPr>
      <w:r>
        <w:rPr>
          <w:rFonts w:ascii="Arial" w:hAnsi="Arial" w:eastAsia="仿宋_GB2312" w:cs="Arial"/>
          <w:b/>
          <w:color w:val="auto"/>
          <w:sz w:val="52"/>
          <w:szCs w:val="52"/>
          <w:highlight w:val="none"/>
        </w:rPr>
      </w:r>
      <w:r/>
    </w:p>
    <w:p>
      <w:pPr>
        <w:jc w:val="center"/>
        <w:rPr>
          <w:rFonts w:ascii="仿宋" w:hAnsi="仿宋" w:eastAsia="仿宋" w:cs="仿宋"/>
          <w:b/>
          <w:color w:val="auto"/>
          <w:sz w:val="52"/>
          <w:szCs w:val="52"/>
          <w:highlight w:val="none"/>
        </w:rPr>
      </w:pPr>
      <w:r>
        <w:rPr>
          <w:rFonts w:ascii="仿宋" w:hAnsi="仿宋" w:eastAsia="仿宋" w:cs="仿宋"/>
          <w:b/>
          <w:color w:val="auto"/>
          <w:sz w:val="52"/>
          <w:szCs w:val="52"/>
          <w:highlight w:val="none"/>
        </w:rPr>
      </w:r>
      <w:r/>
    </w:p>
    <w:p>
      <w:pPr>
        <w:jc w:val="center"/>
        <w:rPr>
          <w:rFonts w:ascii="仿宋" w:hAnsi="仿宋" w:eastAsia="仿宋" w:cs="仿宋"/>
          <w:b/>
          <w:color w:val="auto"/>
          <w:sz w:val="52"/>
          <w:szCs w:val="52"/>
          <w:highlight w:val="none"/>
        </w:rPr>
      </w:pPr>
      <w:r>
        <w:rPr>
          <w:rFonts w:hint="eastAsia" w:ascii="仿宋" w:hAnsi="仿宋" w:eastAsia="仿宋" w:cs="仿宋"/>
          <w:b/>
          <w:color w:val="auto"/>
          <w:sz w:val="52"/>
          <w:szCs w:val="52"/>
          <w:highlight w:val="none"/>
        </w:rPr>
        <w:t xml:space="preserve">靖江市政府采购项目</w:t>
      </w:r>
      <w:r/>
    </w:p>
    <w:p>
      <w:pPr>
        <w:pStyle w:val="1181"/>
        <w:ind w:firstLine="400"/>
        <w:rPr>
          <w:color w:val="auto"/>
          <w:highlight w:val="none"/>
        </w:rPr>
      </w:pPr>
      <w:r>
        <w:rPr>
          <w:color w:val="auto"/>
          <w:highlight w:val="none"/>
        </w:rPr>
      </w:r>
      <w:r/>
    </w:p>
    <w:p>
      <w:pPr>
        <w:jc w:val="center"/>
        <w:rPr>
          <w:rFonts w:ascii="仿宋" w:hAnsi="仿宋" w:eastAsia="仿宋" w:cs="仿宋"/>
          <w:b/>
          <w:bCs/>
          <w:color w:val="auto"/>
          <w:sz w:val="84"/>
          <w:highlight w:val="none"/>
        </w:rPr>
      </w:pPr>
      <w:r>
        <w:rPr>
          <w:rFonts w:hint="eastAsia" w:ascii="仿宋" w:hAnsi="仿宋" w:eastAsia="仿宋" w:cs="仿宋"/>
          <w:b/>
          <w:bCs/>
          <w:color w:val="auto"/>
          <w:sz w:val="84"/>
          <w:highlight w:val="none"/>
        </w:rPr>
        <w:t xml:space="preserve">磋商文件</w:t>
      </w:r>
      <w:r/>
    </w:p>
    <w:p>
      <w:pPr>
        <w:jc w:val="center"/>
        <w:rPr>
          <w:rFonts w:ascii="仿宋" w:hAnsi="仿宋" w:eastAsia="仿宋" w:cs="仿宋"/>
          <w:b/>
          <w:bCs/>
          <w:color w:val="auto"/>
          <w:spacing w:val="28"/>
          <w:sz w:val="36"/>
          <w:szCs w:val="36"/>
          <w:highlight w:val="none"/>
        </w:rPr>
      </w:pPr>
      <w:r>
        <w:rPr>
          <w:rFonts w:hint="eastAsia" w:ascii="仿宋" w:hAnsi="仿宋" w:eastAsia="仿宋" w:cs="仿宋"/>
          <w:b/>
          <w:bCs/>
          <w:color w:val="auto"/>
          <w:spacing w:val="28"/>
          <w:sz w:val="36"/>
          <w:szCs w:val="36"/>
          <w:highlight w:val="none"/>
        </w:rPr>
        <w:t xml:space="preserve">（竞争性磋商）</w:t>
      </w:r>
      <w:r/>
    </w:p>
    <w:p>
      <w:pPr>
        <w:pStyle w:val="1181"/>
        <w:ind w:firstLine="400"/>
        <w:rPr>
          <w:color w:val="auto"/>
          <w:highlight w:val="none"/>
        </w:rPr>
      </w:pPr>
      <w:r>
        <w:rPr>
          <w:color w:val="auto"/>
          <w:highlight w:val="none"/>
        </w:rPr>
      </w:r>
      <w:r/>
    </w:p>
    <w:p>
      <w:pPr>
        <w:jc w:val="center"/>
        <w:rPr>
          <w:rFonts w:ascii="仿宋" w:hAnsi="仿宋" w:eastAsia="仿宋" w:cs="仿宋"/>
          <w:b/>
          <w:bCs/>
          <w:color w:val="auto"/>
          <w:sz w:val="32"/>
          <w:highlight w:val="none"/>
        </w:rPr>
      </w:pPr>
      <w:r>
        <w:rPr>
          <w:rFonts w:hint="eastAsia" w:ascii="Arial" w:hAnsi="Arial" w:eastAsia="仿宋_GB2312" w:cs="Arial"/>
          <w:b/>
          <w:bCs/>
          <w:color w:val="auto"/>
          <w:sz w:val="32"/>
          <w:highlight w:val="none"/>
        </w:rPr>
        <mc:AlternateContent>
          <mc:Choice Requires="wpg">
            <w:drawing>
              <wp:inline xmlns:wp="http://schemas.openxmlformats.org/drawingml/2006/wordprocessingDrawing" distT="0" distB="0" distL="0" distR="0">
                <wp:extent cx="1504950" cy="150495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28"/>
                        <a:stretch/>
                      </pic:blipFill>
                      <pic:spPr bwMode="auto">
                        <a:xfrm>
                          <a:off x="0" y="0"/>
                          <a:ext cx="1505090" cy="1505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8.5pt;height:118.5pt;mso-wrap-distance-left:0.0pt;mso-wrap-distance-top:0.0pt;mso-wrap-distance-right:0.0pt;mso-wrap-distance-bottom:0.0pt;" stroked="f">
                <v:path textboxrect="0,0,0,0"/>
                <v:imagedata r:id="rId28" o:title=""/>
              </v:shape>
            </w:pict>
          </mc:Fallback>
        </mc:AlternateContent>
      </w:r>
      <w:r/>
    </w:p>
    <w:p>
      <w:pPr>
        <w:pStyle w:val="1181"/>
        <w:ind w:firstLine="400"/>
        <w:rPr>
          <w:color w:val="auto"/>
          <w:highlight w:val="none"/>
        </w:rPr>
      </w:pPr>
      <w:r>
        <w:rPr>
          <w:color w:val="auto"/>
          <w:highlight w:val="none"/>
        </w:rPr>
      </w:r>
      <w:r/>
    </w:p>
    <w:p>
      <w:pPr>
        <w:pStyle w:val="1103"/>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t xml:space="preserve">项目名称：</w:t>
      </w:r>
      <w:bookmarkStart w:id="0" w:name="_Toc387685404"/>
      <w:r/>
      <w:bookmarkEnd w:id="0"/>
      <w:r/>
      <w:bookmarkStart w:id="1" w:name="_Toc387685485"/>
      <w:r/>
      <w:bookmarkEnd w:id="1"/>
      <w:r>
        <w:rPr>
          <w:rFonts w:hint="eastAsia" w:ascii="Arial" w:hAnsi="Arial" w:eastAsia="仿宋_GB2312"/>
          <w:b/>
          <w:bCs/>
          <w:color w:val="auto"/>
          <w:sz w:val="28"/>
          <w:szCs w:val="28"/>
          <w:highlight w:val="none"/>
        </w:rPr>
        <w:t xml:space="preserve">   </w:t>
      </w:r>
      <w:r>
        <w:rPr>
          <w:rFonts w:hint="eastAsia" w:ascii="Arial" w:hAnsi="Arial" w:eastAsia="宋体"/>
          <w:b/>
          <w:bCs/>
          <w:color w:val="auto"/>
          <w:sz w:val="24"/>
          <w:szCs w:val="24"/>
          <w:highlight w:val="none"/>
        </w:rPr>
        <w:t xml:space="preserve"> </w:t>
      </w:r>
      <w:r>
        <w:rPr>
          <w:rFonts w:hint="eastAsia" w:ascii="Arial" w:hAnsi="Arial" w:eastAsia="仿宋_GB2312"/>
          <w:b/>
          <w:bCs/>
          <w:color w:val="auto"/>
          <w:sz w:val="28"/>
          <w:szCs w:val="28"/>
          <w:highlight w:val="none"/>
          <w:lang w:val="en-GB"/>
        </w:rPr>
        <w:t xml:space="preserve">靖江市美丽河湖水生态调查评估项目</w:t>
      </w:r>
      <w:r/>
    </w:p>
    <w:p>
      <w:pPr>
        <w:ind w:left="1984" w:hanging="1417"/>
        <w:spacing w:line="360" w:lineRule="auto"/>
        <w:rPr>
          <w:rFonts w:ascii="仿宋" w:hAnsi="仿宋" w:eastAsia="仿宋" w:cs="仿宋"/>
          <w:b/>
          <w:bCs/>
          <w:color w:val="auto"/>
          <w:sz w:val="28"/>
          <w:szCs w:val="28"/>
          <w:highlight w:val="none"/>
          <w:lang w:val="en-GB"/>
        </w:rPr>
      </w:pPr>
      <w:r>
        <w:rPr>
          <w:rFonts w:ascii="仿宋" w:hAnsi="仿宋" w:eastAsia="仿宋" w:cs="仿宋"/>
          <w:b/>
          <w:bCs/>
          <w:color w:val="auto"/>
          <w:sz w:val="28"/>
          <w:szCs w:val="28"/>
          <w:highlight w:val="none"/>
          <w:lang w:val="en-GB"/>
        </w:rPr>
      </w:r>
      <w:r/>
    </w:p>
    <w:p>
      <w:pPr>
        <w:pStyle w:val="1103"/>
        <w:spacing w:line="360" w:lineRule="auto"/>
        <w:rPr>
          <w:rFonts w:hint="eastAsia" w:ascii="Arial" w:hAnsi="Arial" w:eastAsia="仿宋_GB2312"/>
          <w:b/>
          <w:bCs/>
          <w:color w:val="auto"/>
          <w:sz w:val="28"/>
          <w:szCs w:val="28"/>
          <w:highlight w:val="none"/>
          <w:lang w:val="en-GB"/>
        </w:rPr>
      </w:pPr>
      <w:r>
        <w:rPr>
          <w:rFonts w:hint="eastAsia" w:ascii="Arial" w:hAnsi="Arial" w:eastAsia="仿宋_GB2312"/>
          <w:b/>
          <w:bCs/>
          <w:color w:val="auto"/>
          <w:sz w:val="28"/>
          <w:szCs w:val="28"/>
          <w:highlight w:val="none"/>
          <w:lang w:val="en-GB"/>
        </w:rPr>
      </w:r>
      <w:r/>
    </w:p>
    <w:p>
      <w:pPr>
        <w:pStyle w:val="1103"/>
        <w:spacing w:line="360" w:lineRule="auto"/>
        <w:rPr>
          <w:rFonts w:hint="eastAsia" w:ascii="Arial" w:hAnsi="Arial" w:eastAsia="仿宋_GB2312"/>
          <w:b/>
          <w:bCs/>
          <w:color w:val="auto"/>
          <w:sz w:val="28"/>
          <w:szCs w:val="28"/>
          <w:highlight w:val="none"/>
          <w:lang w:val="en-GB" w:eastAsia="zh-CN"/>
        </w:rPr>
      </w:pPr>
      <w:r>
        <w:rPr>
          <w:rFonts w:hint="eastAsia" w:ascii="Arial" w:hAnsi="Arial" w:eastAsia="仿宋_GB2312"/>
          <w:b/>
          <w:bCs/>
          <w:color w:val="auto"/>
          <w:sz w:val="28"/>
          <w:szCs w:val="28"/>
          <w:highlight w:val="none"/>
          <w:lang w:val="en-GB"/>
        </w:rPr>
        <w:t xml:space="preserve">项目编号：</w:t>
      </w:r>
      <w:r>
        <w:rPr>
          <w:rFonts w:ascii="Arial" w:hAnsi="Arial" w:eastAsia="仿宋_GB2312"/>
          <w:b/>
          <w:bCs/>
          <w:color w:val="auto"/>
          <w:sz w:val="28"/>
          <w:szCs w:val="28"/>
          <w:highlight w:val="none"/>
          <w:lang w:val="en-GB"/>
        </w:rPr>
        <w:t xml:space="preserve"> </w:t>
      </w:r>
      <w:r>
        <w:rPr>
          <w:rFonts w:ascii="Arial" w:hAnsi="Arial"/>
          <w:b/>
          <w:bCs/>
          <w:color w:val="auto"/>
          <w:sz w:val="28"/>
          <w:szCs w:val="28"/>
          <w:highlight w:val="none"/>
          <w:lang w:val="en-GB"/>
        </w:rPr>
        <w:t xml:space="preserve">   </w:t>
      </w:r>
      <w:r>
        <w:rPr>
          <w:rFonts w:ascii="Arial" w:hAnsi="Arial" w:eastAsia="仿宋_GB2312"/>
          <w:b/>
          <w:bCs/>
          <w:color w:val="auto"/>
          <w:sz w:val="28"/>
          <w:szCs w:val="28"/>
          <w:highlight w:val="none"/>
          <w:lang w:val="en-GB"/>
        </w:rPr>
        <w:t xml:space="preserve"> </w:t>
      </w:r>
      <w:r>
        <w:rPr>
          <w:rFonts w:hint="eastAsia" w:ascii="Arial" w:hAnsi="Arial" w:eastAsia="仿宋_GB2312"/>
          <w:b/>
          <w:bCs/>
          <w:color w:val="auto"/>
          <w:sz w:val="28"/>
          <w:szCs w:val="28"/>
          <w:highlight w:val="none"/>
          <w:lang w:val="en-GB" w:eastAsia="zh-CN"/>
        </w:rPr>
        <w:t xml:space="preserve">JSZC-321282-JCJJ-C2026-0005</w:t>
      </w:r>
      <w:r/>
    </w:p>
    <w:p>
      <w:pPr>
        <w:pStyle w:val="1103"/>
        <w:ind w:firstLine="281"/>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1103"/>
        <w:ind w:firstLine="281"/>
        <w:spacing w:line="360" w:lineRule="auto"/>
        <w:rPr>
          <w:rFonts w:ascii="Arial" w:hAnsi="Arial" w:eastAsiaTheme="minorEastAsia"/>
          <w:b/>
          <w:bCs/>
          <w:color w:val="auto"/>
          <w:sz w:val="28"/>
          <w:szCs w:val="28"/>
          <w:highlight w:val="none"/>
          <w:lang w:val="en-GB"/>
        </w:rPr>
      </w:pPr>
      <w:r>
        <w:rPr>
          <w:rFonts w:ascii="Arial" w:hAnsi="Arial" w:eastAsiaTheme="minorEastAsia"/>
          <w:b/>
          <w:bCs/>
          <w:color w:val="auto"/>
          <w:sz w:val="28"/>
          <w:szCs w:val="28"/>
          <w:highlight w:val="none"/>
          <w:lang w:val="en-GB"/>
        </w:rPr>
      </w:r>
      <w:r/>
    </w:p>
    <w:p>
      <w:pPr>
        <w:pStyle w:val="1103"/>
        <w:spacing w:line="360" w:lineRule="auto"/>
        <w:rPr>
          <w:rFonts w:ascii="Arial" w:hAnsi="Arial"/>
          <w:b/>
          <w:bCs/>
          <w:color w:val="auto"/>
          <w:sz w:val="28"/>
          <w:szCs w:val="28"/>
          <w:highlight w:val="none"/>
          <w:lang w:val="en-GB"/>
        </w:rPr>
      </w:pPr>
      <w:r>
        <w:rPr>
          <w:rFonts w:hint="eastAsia" w:ascii="Arial" w:hAnsi="Arial" w:eastAsia="仿宋_GB2312"/>
          <w:b/>
          <w:bCs/>
          <w:color w:val="auto"/>
          <w:sz w:val="28"/>
          <w:szCs w:val="28"/>
          <w:highlight w:val="none"/>
          <w:lang w:val="en-GB"/>
        </w:rPr>
        <w:t xml:space="preserve">采</w:t>
      </w:r>
      <w:r>
        <w:rPr>
          <w:rFonts w:ascii="Arial" w:hAnsi="Arial" w:eastAsia="仿宋_GB2312"/>
          <w:b/>
          <w:bCs/>
          <w:color w:val="auto"/>
          <w:sz w:val="28"/>
          <w:szCs w:val="28"/>
          <w:highlight w:val="none"/>
          <w:lang w:val="en-GB"/>
        </w:rPr>
        <w:t xml:space="preserve"> </w:t>
      </w:r>
      <w:r>
        <w:rPr>
          <w:rFonts w:hint="eastAsia" w:ascii="Arial" w:hAnsi="Arial" w:eastAsia="仿宋_GB2312"/>
          <w:b/>
          <w:bCs/>
          <w:color w:val="auto"/>
          <w:sz w:val="28"/>
          <w:szCs w:val="28"/>
          <w:highlight w:val="none"/>
          <w:lang w:val="en-GB"/>
        </w:rPr>
        <w:t xml:space="preserve">购</w:t>
      </w:r>
      <w:r>
        <w:rPr>
          <w:rFonts w:ascii="Arial" w:hAnsi="Arial" w:eastAsia="仿宋_GB2312"/>
          <w:b/>
          <w:bCs/>
          <w:color w:val="auto"/>
          <w:sz w:val="28"/>
          <w:szCs w:val="28"/>
          <w:highlight w:val="none"/>
          <w:lang w:val="en-GB"/>
        </w:rPr>
        <w:t xml:space="preserve"> </w:t>
      </w:r>
      <w:r>
        <w:rPr>
          <w:rFonts w:hint="eastAsia" w:ascii="Arial" w:hAnsi="Arial" w:eastAsia="仿宋_GB2312"/>
          <w:b/>
          <w:bCs/>
          <w:color w:val="auto"/>
          <w:sz w:val="28"/>
          <w:szCs w:val="28"/>
          <w:highlight w:val="none"/>
          <w:lang w:val="en-GB"/>
        </w:rPr>
        <w:t xml:space="preserve">人：</w:t>
      </w:r>
      <w:r>
        <w:rPr>
          <w:rFonts w:ascii="Arial" w:hAnsi="Arial" w:eastAsia="仿宋_GB2312"/>
          <w:b/>
          <w:bCs/>
          <w:color w:val="auto"/>
          <w:sz w:val="28"/>
          <w:szCs w:val="28"/>
          <w:highlight w:val="none"/>
          <w:lang w:val="en-GB"/>
        </w:rPr>
        <w:t xml:space="preserve">     </w:t>
      </w:r>
      <w:r>
        <w:rPr>
          <w:rFonts w:ascii="Arial" w:hAnsi="Arial"/>
          <w:b/>
          <w:bCs/>
          <w:color w:val="auto"/>
          <w:sz w:val="28"/>
          <w:szCs w:val="28"/>
          <w:highlight w:val="none"/>
          <w:lang w:val="en-GB"/>
        </w:rPr>
        <w:t xml:space="preserve">   </w:t>
      </w:r>
      <w:r>
        <w:rPr>
          <w:rFonts w:hint="eastAsia" w:ascii="Arial" w:hAnsi="Arial" w:eastAsia="仿宋_GB2312"/>
          <w:b/>
          <w:bCs/>
          <w:color w:val="auto"/>
          <w:sz w:val="28"/>
          <w:szCs w:val="28"/>
          <w:highlight w:val="none"/>
          <w:lang w:val="en-GB"/>
        </w:rPr>
        <w:t xml:space="preserve">泰州市靖江生态环境局</w:t>
      </w:r>
      <w:r/>
    </w:p>
    <w:p>
      <w:pPr>
        <w:pStyle w:val="1103"/>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1103"/>
        <w:rPr>
          <w:rFonts w:ascii="Arial" w:hAnsi="Arial" w:eastAsiaTheme="minorEastAsia"/>
          <w:b/>
          <w:bCs/>
          <w:color w:val="auto"/>
          <w:sz w:val="28"/>
          <w:szCs w:val="28"/>
          <w:highlight w:val="none"/>
          <w:lang w:val="en-GB"/>
        </w:rPr>
      </w:pPr>
      <w:r>
        <w:rPr>
          <w:rFonts w:ascii="Arial" w:hAnsi="Arial" w:eastAsiaTheme="minorEastAsia"/>
          <w:b/>
          <w:bCs/>
          <w:color w:val="auto"/>
          <w:sz w:val="28"/>
          <w:szCs w:val="28"/>
          <w:highlight w:val="none"/>
          <w:lang w:val="en-GB"/>
        </w:rPr>
      </w:r>
      <w:r/>
    </w:p>
    <w:p>
      <w:pPr>
        <w:pStyle w:val="1104"/>
        <w:rPr>
          <w:rFonts w:ascii="楷体_GB2312" w:eastAsia="楷体_GB2312"/>
          <w:color w:val="auto"/>
          <w:highlight w:val="none"/>
          <w:lang w:val="en-GB"/>
        </w:rPr>
      </w:pPr>
      <w:r>
        <w:rPr>
          <w:rFonts w:ascii="楷体_GB2312" w:eastAsia="楷体_GB2312"/>
          <w:color w:val="auto"/>
          <w:highlight w:val="none"/>
          <w:lang w:val="en-GB"/>
        </w:rPr>
      </w:r>
      <w:r/>
    </w:p>
    <w:p>
      <w:pPr>
        <w:pStyle w:val="1103"/>
        <w:rPr>
          <w:rFonts w:ascii="Arial" w:hAnsi="Arial" w:eastAsia="仿宋_GB2312"/>
          <w:b/>
          <w:bCs/>
          <w:color w:val="auto"/>
          <w:sz w:val="32"/>
          <w:highlight w:val="none"/>
          <w:lang w:val="en-GB"/>
        </w:rPr>
      </w:pPr>
      <w:r>
        <w:rPr>
          <w:rFonts w:hint="eastAsia" w:ascii="Arial" w:hAnsi="Arial" w:eastAsia="仿宋_GB2312"/>
          <w:b/>
          <w:bCs/>
          <w:color w:val="auto"/>
          <w:sz w:val="28"/>
          <w:szCs w:val="28"/>
          <w:highlight w:val="none"/>
          <w:lang w:val="en-GB"/>
        </w:rPr>
        <w:t xml:space="preserve">采购代理机构：江苏金宸招标代理有限公司</w:t>
      </w:r>
      <w:r/>
    </w:p>
    <w:p>
      <w:pPr>
        <w:pStyle w:val="1103"/>
        <w:jc w:val="center"/>
        <w:spacing w:line="500" w:lineRule="exact"/>
        <w:rPr>
          <w:rFonts w:ascii="Arial" w:hAnsi="Arial" w:eastAsia="仿宋_GB2312"/>
          <w:b/>
          <w:bCs/>
          <w:color w:val="auto"/>
          <w:sz w:val="24"/>
          <w:highlight w:val="none"/>
          <w:lang w:val="en-GB"/>
        </w:rPr>
      </w:pPr>
      <w:r>
        <w:rPr>
          <w:rFonts w:ascii="Arial" w:hAnsi="Arial" w:eastAsia="仿宋_GB2312"/>
          <w:b/>
          <w:bCs/>
          <w:color w:val="auto"/>
          <w:sz w:val="24"/>
          <w:highlight w:val="none"/>
          <w:lang w:val="en-GB"/>
        </w:rPr>
      </w:r>
      <w:r/>
    </w:p>
    <w:p>
      <w:pPr>
        <w:pStyle w:val="1104"/>
        <w:rPr>
          <w:rFonts w:ascii="楷体_GB2312" w:eastAsia="楷体_GB2312"/>
          <w:color w:val="auto"/>
          <w:highlight w:val="none"/>
          <w:lang w:val="en-GB"/>
        </w:rPr>
      </w:pPr>
      <w:r>
        <w:rPr>
          <w:rFonts w:ascii="楷体_GB2312" w:eastAsia="楷体_GB2312"/>
          <w:color w:val="auto"/>
          <w:highlight w:val="none"/>
          <w:lang w:val="en-GB"/>
        </w:rPr>
      </w:r>
      <w:r/>
    </w:p>
    <w:p>
      <w:pPr>
        <w:jc w:val="center"/>
        <w:spacing w:line="360" w:lineRule="auto"/>
        <w:rPr>
          <w:rFonts w:ascii="仿宋" w:hAnsi="仿宋" w:eastAsia="仿宋" w:cs="仿宋"/>
          <w:b/>
          <w:color w:val="auto"/>
          <w:sz w:val="30"/>
          <w:szCs w:val="30"/>
          <w:highlight w:val="none"/>
        </w:rPr>
        <w:sectPr>
          <w:headerReference w:type="default" r:id="rId9"/>
          <w:headerReference w:type="even" r:id="rId10"/>
          <w:headerReference w:type="first" r:id="rId11"/>
          <w:footerReference w:type="default" r:id="rId18"/>
          <w:footerReference w:type="even" r:id="rId19"/>
          <w:footerReference w:type="first" r:id="rId20"/>
          <w:footnotePr/>
          <w:endnotePr/>
          <w:type w:val="nextPage"/>
          <w:pgSz w:w="11906" w:h="16838" w:orient="portrait"/>
          <w:pgMar w:top="1215" w:right="1418" w:bottom="1400" w:left="1418" w:header="851" w:footer="992" w:gutter="0"/>
          <w:cols w:num="1" w:sep="0" w:space="1701" w:equalWidth="1"/>
          <w:docGrid w:linePitch="360"/>
          <w:titlePg/>
        </w:sectPr>
      </w:pPr>
      <w:r>
        <w:rPr>
          <w:rFonts w:hint="eastAsia" w:ascii="Arial" w:hAnsi="Arial" w:eastAsia="仿宋_GB2312"/>
          <w:b/>
          <w:bCs/>
          <w:color w:val="auto"/>
          <w:sz w:val="24"/>
          <w:highlight w:val="none"/>
          <w:lang w:val="en-GB"/>
        </w:rPr>
        <w:t xml:space="preserve">发布日期：</w:t>
      </w:r>
      <w:r>
        <w:rPr>
          <w:rFonts w:ascii="Arial" w:hAnsi="Arial" w:eastAsia="仿宋_GB2312"/>
          <w:b/>
          <w:bCs/>
          <w:color w:val="auto"/>
          <w:sz w:val="24"/>
          <w:highlight w:val="none"/>
        </w:rPr>
        <w:t xml:space="preserve">202</w:t>
      </w:r>
      <w:r>
        <w:rPr>
          <w:rFonts w:ascii="Arial" w:hAnsi="Arial" w:eastAsiaTheme="minorEastAsia"/>
          <w:b/>
          <w:bCs/>
          <w:color w:val="auto"/>
          <w:sz w:val="24"/>
          <w:highlight w:val="none"/>
        </w:rPr>
        <w:t xml:space="preserve">6</w:t>
      </w:r>
      <w:r>
        <w:rPr>
          <w:rFonts w:hint="eastAsia" w:ascii="Arial" w:hAnsi="Arial" w:eastAsia="仿宋_GB2312"/>
          <w:b/>
          <w:bCs/>
          <w:color w:val="auto"/>
          <w:sz w:val="24"/>
          <w:highlight w:val="none"/>
          <w:lang w:val="en-GB"/>
        </w:rPr>
        <w:t xml:space="preserve">年</w:t>
      </w:r>
      <w:r>
        <w:rPr>
          <w:rFonts w:ascii="Arial" w:hAnsi="Arial" w:eastAsiaTheme="minorEastAsia"/>
          <w:b/>
          <w:bCs/>
          <w:color w:val="auto"/>
          <w:sz w:val="24"/>
          <w:highlight w:val="none"/>
        </w:rPr>
        <w:t xml:space="preserve">5</w:t>
      </w:r>
      <w:r>
        <w:rPr>
          <w:rFonts w:hint="eastAsia" w:ascii="Arial" w:hAnsi="Arial" w:eastAsia="仿宋_GB2312"/>
          <w:b/>
          <w:bCs/>
          <w:color w:val="auto"/>
          <w:sz w:val="24"/>
          <w:highlight w:val="none"/>
          <w:lang w:val="en-GB"/>
        </w:rPr>
        <w:t xml:space="preserve">月</w:t>
      </w:r>
      <w:r/>
    </w:p>
    <w:p>
      <w:pPr>
        <w:jc w:val="center"/>
        <w:spacing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一、关于政府采购线上合同信用融资功能告知提醒</w:t>
      </w:r>
      <w:r/>
    </w:p>
    <w:p>
      <w:pPr>
        <w:spacing w:line="560" w:lineRule="exact"/>
        <w:rPr>
          <w:rFonts w:ascii="仿宋" w:hAnsi="仿宋" w:eastAsia="仿宋" w:cs="仿宋"/>
          <w:color w:val="auto"/>
          <w:spacing w:val="-3"/>
          <w:sz w:val="24"/>
          <w:highlight w:val="none"/>
        </w:rPr>
      </w:pPr>
      <w:r>
        <w:rPr>
          <w:rFonts w:hint="eastAsia" w:ascii="仿宋" w:hAnsi="仿宋" w:eastAsia="仿宋" w:cs="仿宋"/>
          <w:color w:val="auto"/>
          <w:spacing w:val="-3"/>
          <w:sz w:val="24"/>
          <w:highlight w:val="none"/>
        </w:rPr>
        <w:t xml:space="preserve">各政府采购供应商：</w:t>
      </w:r>
      <w:r/>
    </w:p>
    <w:p>
      <w:pPr>
        <w:ind w:firstLine="522"/>
        <w:spacing w:line="360" w:lineRule="exact"/>
        <w:rPr>
          <w:rFonts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今年我市已正式启用“苏采云”系统，目前已全面开</w:t>
      </w:r>
      <w:r>
        <w:rPr>
          <w:rFonts w:hint="eastAsia" w:ascii="仿宋" w:hAnsi="仿宋" w:eastAsia="仿宋" w:cs="仿宋"/>
          <w:color w:val="auto"/>
          <w:spacing w:val="11"/>
          <w:sz w:val="24"/>
          <w:highlight w:val="none"/>
        </w:rPr>
        <w:t xml:space="preserve">通</w:t>
      </w:r>
      <w:r>
        <w:rPr>
          <w:rFonts w:hint="eastAsia" w:ascii="仿宋" w:hAnsi="仿宋" w:eastAsia="仿宋" w:cs="仿宋"/>
          <w:color w:val="auto"/>
          <w:spacing w:val="1"/>
          <w:sz w:val="24"/>
          <w:highlight w:val="none"/>
        </w:rPr>
        <w:t xml:space="preserve">政府采购线上合同信用融资（以下简称“政采贷”）功能。成交供应商可凭政府采购合同在中征平台发起贷款申请贷款。</w:t>
      </w:r>
      <w:r/>
    </w:p>
    <w:p>
      <w:pPr>
        <w:pStyle w:val="1174"/>
        <w:ind w:left="640"/>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“政采贷”业务流程</w:t>
      </w:r>
      <w:r/>
    </w:p>
    <w:p>
      <w:pPr>
        <w:pStyle w:val="1174"/>
        <w:jc w:val="center"/>
        <w:spacing w:beforeAutospacing="0" w:afterAutospacing="0"/>
        <w:rPr>
          <w:rFonts w:ascii="仿宋" w:hAnsi="仿宋" w:eastAsia="仿宋" w:cs="仿宋"/>
          <w:color w:val="auto"/>
          <w:highlight w:val="none"/>
        </w:rPr>
      </w:pPr>
      <w:r>
        <w:rPr>
          <w:rFonts w:hint="eastAsia" w:ascii="仿宋" w:hAnsi="仿宋" w:eastAsia="仿宋" w:cs="仿宋"/>
          <w:color w:val="auto"/>
          <w:highlight w:val="none"/>
        </w:rPr>
        <mc:AlternateContent>
          <mc:Choice Requires="wpg">
            <w:drawing>
              <wp:inline xmlns:wp="http://schemas.openxmlformats.org/drawingml/2006/wordprocessingDrawing" distT="0" distB="0" distL="0" distR="0">
                <wp:extent cx="5267325" cy="155321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9"/>
                        <a:stretch/>
                      </pic:blipFill>
                      <pic:spPr bwMode="auto">
                        <a:xfrm>
                          <a:off x="0" y="0"/>
                          <a:ext cx="5267325" cy="1553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3pt;mso-wrap-distance-left:0.0pt;mso-wrap-distance-top:0.0pt;mso-wrap-distance-right:0.0pt;mso-wrap-distance-bottom:0.0pt;" stroked="f">
                <v:path textboxrect="0,0,0,0"/>
                <v:imagedata r:id="rId29" o:title=""/>
              </v:shape>
            </w:pict>
          </mc:Fallback>
        </mc:AlternateContent>
      </w:r>
      <w:r/>
    </w:p>
    <w:p>
      <w:pPr>
        <w:pStyle w:val="1174"/>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常见问题</w:t>
      </w:r>
      <w:r/>
    </w:p>
    <w:p>
      <w:pPr>
        <w:pStyle w:val="1174"/>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Q1：哪些企业能申请“政采贷”？</w:t>
      </w:r>
      <w:r/>
    </w:p>
    <w:p>
      <w:pPr>
        <w:pStyle w:val="1174"/>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答：江苏省内采用国库集中支付的政府采购项目的中标供应商，可凭政府采购合同申请"政采贷"。</w:t>
      </w:r>
      <w:r/>
    </w:p>
    <w:p>
      <w:pPr>
        <w:pStyle w:val="1174"/>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Q2：供应商在哪里申请“政采贷”？</w:t>
      </w:r>
      <w:r/>
    </w:p>
    <w:p>
      <w:pPr>
        <w:pStyle w:val="1174"/>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答：中标供应商在“中征应收账款融资服务平台”（简称“中征平台”）上向意向银行发起融资申请</w:t>
      </w:r>
      <w:r/>
    </w:p>
    <w:p>
      <w:pPr>
        <w:pStyle w:val="1174"/>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Q3：中标供应商要注意什么？</w:t>
      </w:r>
      <w:r/>
    </w:p>
    <w:p>
      <w:pPr>
        <w:pStyle w:val="1174"/>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答：中标供应商要加强和采购单位的沟通协调，尽早确定融资需求。需要“政采贷”融资的，政府采购合同付款账号应当空置。</w:t>
      </w:r>
      <w:r/>
    </w:p>
    <w:p>
      <w:pPr>
        <w:pStyle w:val="1174"/>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Q4：采购单位要做什么？</w:t>
      </w:r>
      <w:r/>
    </w:p>
    <w:p>
      <w:pPr>
        <w:pStyle w:val="1174"/>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174"/>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Q5：“政采贷”融资失败怎么办？</w:t>
      </w:r>
      <w:r/>
    </w:p>
    <w:p>
      <w:pPr>
        <w:pStyle w:val="1174"/>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spacing w:line="360" w:lineRule="exact"/>
        <w:rPr>
          <w:rFonts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政采贷：</w:t>
      </w:r>
      <w:r>
        <w:rPr>
          <w:color w:val="auto"/>
          <w:highlight w:val="none"/>
        </w:rPr>
        <w:fldChar w:fldCharType="begin"/>
      </w:r>
      <w:r>
        <w:rPr>
          <w:color w:val="auto"/>
          <w:highlight w:val="none"/>
        </w:rPr>
        <w:instrText xml:space="preserve"> HYPERLINK "http://www.ccgp-jiangsu.gov.cn/jiangsu/paying.html" \o "http://www.ccgp-jiangsu.gov.cn/jiangsu/paying.html" </w:instrText>
      </w:r>
      <w:r>
        <w:rPr>
          <w:color w:val="auto"/>
          <w:highlight w:val="none"/>
        </w:rPr>
        <w:fldChar w:fldCharType="separate"/>
      </w:r>
      <w:r>
        <w:rPr>
          <w:rStyle w:val="1188"/>
          <w:rFonts w:hint="eastAsia" w:ascii="仿宋" w:hAnsi="仿宋" w:eastAsia="仿宋" w:cs="仿宋"/>
          <w:color w:val="auto"/>
          <w:spacing w:val="1"/>
          <w:sz w:val="24"/>
          <w:highlight w:val="none"/>
        </w:rPr>
        <w:t xml:space="preserve">http://www.ccgp-jiangsu.gov.cn/jiangsu/paying.html</w:t>
      </w:r>
      <w:r>
        <w:rPr>
          <w:rStyle w:val="1188"/>
          <w:rFonts w:hint="eastAsia" w:ascii="仿宋" w:hAnsi="仿宋" w:eastAsia="仿宋" w:cs="仿宋"/>
          <w:color w:val="auto"/>
          <w:spacing w:val="1"/>
          <w:sz w:val="24"/>
          <w:highlight w:val="none"/>
        </w:rPr>
        <w:fldChar w:fldCharType="end"/>
      </w:r>
      <w:r/>
    </w:p>
    <w:p>
      <w:pPr>
        <w:spacing w:line="360" w:lineRule="exact"/>
        <w:rPr>
          <w:rFonts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中征平台：</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Style w:val="1188"/>
          <w:rFonts w:hint="eastAsia" w:ascii="仿宋" w:hAnsi="仿宋" w:eastAsia="仿宋" w:cs="仿宋"/>
          <w:color w:val="auto"/>
          <w:spacing w:val="1"/>
          <w:sz w:val="24"/>
          <w:highlight w:val="none"/>
        </w:rPr>
        <w:t xml:space="preserve">https://www.crcrfsp.com/</w:t>
      </w:r>
      <w:r>
        <w:rPr>
          <w:rStyle w:val="1188"/>
          <w:rFonts w:hint="eastAsia" w:ascii="仿宋" w:hAnsi="仿宋" w:eastAsia="仿宋" w:cs="仿宋"/>
          <w:color w:val="auto"/>
          <w:spacing w:val="1"/>
          <w:sz w:val="24"/>
          <w:highlight w:val="none"/>
        </w:rPr>
        <w:fldChar w:fldCharType="end"/>
      </w:r>
      <w:r/>
    </w:p>
    <w:p>
      <w:pPr>
        <w:pStyle w:val="1174"/>
        <w:jc w:val="both"/>
        <w:spacing w:before="0" w:beforeAutospacing="0" w:after="0" w:afterAutospacing="0" w:line="36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联系电话：0523-84821917</w:t>
      </w:r>
      <w:r/>
    </w:p>
    <w:p>
      <w:pPr>
        <w:jc w:val="center"/>
        <w:spacing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二、不见面交易投标文件制作提交说明</w:t>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rPr>
        <w:t xml:space="preserve">1.业务流程</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rPr>
        <w:t xml:space="preserve">2.苏采云资料</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highlight w:val="none"/>
        </w:rPr>
        <w:fldChar w:fldCharType="begin"/>
      </w:r>
      <w:r>
        <w:rPr>
          <w:color w:val="auto"/>
          <w:highlight w:val="none"/>
        </w:rPr>
        <w:instrText xml:space="preserve"> HYPERLINK "http://czj.taizhou.gov.cn/art/2022/12/9/art_61762_3436049.html" \t "http://www.ccgp-jiangsu.gov.cn/jiangsu/js_cggg/_blank" \o "苏采云系统操作手册（供应商）" </w:instrText>
      </w:r>
      <w:r>
        <w:rPr>
          <w:color w:val="auto"/>
          <w:highlight w:val="none"/>
        </w:rPr>
        <w:fldChar w:fldCharType="separate"/>
      </w:r>
      <w:r>
        <w:rPr>
          <w:rStyle w:val="1188"/>
          <w:rFonts w:hint="eastAsia" w:ascii="仿宋" w:hAnsi="仿宋" w:eastAsia="仿宋" w:cs="仿宋"/>
          <w:color w:val="auto"/>
          <w:sz w:val="24"/>
          <w:highlight w:val="none"/>
          <w:shd w:val="clear" w:color="auto" w:fill="ffffff"/>
        </w:rPr>
        <w:t xml:space="preserve">苏采云系统操作手册（供应商）</w:t>
      </w:r>
      <w:r>
        <w:rPr>
          <w:rStyle w:val="1188"/>
          <w:rFonts w:hint="eastAsia" w:ascii="仿宋" w:hAnsi="仿宋" w:eastAsia="仿宋" w:cs="仿宋"/>
          <w:color w:val="auto"/>
          <w:sz w:val="24"/>
          <w:highlight w:val="none"/>
          <w:shd w:val="clear" w:color="auto" w:fill="ffffff"/>
        </w:rPr>
        <w:fldChar w:fldCharType="end"/>
      </w:r>
      <w:r>
        <w:rPr>
          <w:rFonts w:hint="eastAsia" w:ascii="仿宋" w:hAnsi="仿宋" w:eastAsia="仿宋" w:cs="仿宋"/>
          <w:color w:val="auto"/>
          <w:sz w:val="24"/>
          <w:highlight w:val="none"/>
          <w:shd w:val="clear" w:color="auto" w:fill="ffffff"/>
        </w:rPr>
        <w:t xml:space="preserve">”，进行下载。</w:t>
      </w:r>
      <w:r/>
    </w:p>
    <w:p>
      <w:pPr>
        <w:ind w:firstLine="420"/>
        <w:spacing w:line="360" w:lineRule="exact"/>
        <w:rPr>
          <w:rStyle w:val="1188"/>
          <w:rFonts w:ascii="仿宋" w:hAnsi="仿宋" w:eastAsia="仿宋" w:cs="仿宋"/>
          <w:color w:val="auto"/>
          <w:sz w:val="24"/>
          <w:highlight w:val="none"/>
          <w:shd w:val="clear" w:color="auto" w:fill="ffffff"/>
        </w:rPr>
      </w:pPr>
      <w:r>
        <w:rPr>
          <w:color w:val="auto"/>
          <w:highlight w:val="none"/>
        </w:rPr>
        <w:fldChar w:fldCharType="begin"/>
      </w:r>
      <w:r>
        <w:rPr>
          <w:color w:val="auto"/>
          <w:highlight w:val="none"/>
        </w:rPr>
        <w:instrText xml:space="preserve"> HYPERLINK "http://czj.taizhou.gov.cn/col/col61762/index.html" \o "http://czj.taizhou.gov.cn/col/col61762/index.html" </w:instrText>
      </w:r>
      <w:r>
        <w:rPr>
          <w:color w:val="auto"/>
          <w:highlight w:val="none"/>
        </w:rPr>
        <w:fldChar w:fldCharType="separate"/>
      </w:r>
      <w:r>
        <w:rPr>
          <w:rStyle w:val="1188"/>
          <w:rFonts w:hint="eastAsia" w:ascii="仿宋" w:hAnsi="仿宋" w:eastAsia="仿宋" w:cs="仿宋"/>
          <w:color w:val="auto"/>
          <w:sz w:val="24"/>
          <w:highlight w:val="none"/>
          <w:shd w:val="clear" w:color="auto" w:fill="ffffff"/>
        </w:rPr>
        <w:t xml:space="preserve">http://czj.taizhou.gov.cn/col/col61762/index.html</w:t>
      </w:r>
      <w:r>
        <w:rPr>
          <w:rStyle w:val="1188"/>
          <w:rFonts w:hint="eastAsia" w:ascii="仿宋" w:hAnsi="仿宋" w:eastAsia="仿宋" w:cs="仿宋"/>
          <w:color w:val="auto"/>
          <w:sz w:val="24"/>
          <w:highlight w:val="none"/>
          <w:shd w:val="clear" w:color="auto" w:fill="ffffff"/>
        </w:rPr>
        <w:fldChar w:fldCharType="end"/>
      </w:r>
      <w:r/>
    </w:p>
    <w:p>
      <w:pPr>
        <w:jc w:val="center"/>
        <w:spacing w:line="56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三、供应商更换CA和电子签章特别提醒：</w:t>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1.按照《关于更换全省政府采购交易系统CA数字证书和电子签章的通知》（苏财购[2023]101号）要求，“苏采云”系统目前使用的CA及电子签章更换为江苏省电子政务证书认证中心CA（由江苏意源科技有限公司提供服务）及方正国际软件（北京）有限公司电子签章。</w:t>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2.CA数字证书和电子签章更换的办理方式为现场办理。各供应商需填写（社会代理机构、供应商CA数字证书及电子签章申请表）见附件，并携带营业执照复印件（盖公章）、原CA数字证书在工作日至泰州市公共资源交易中心一楼大厅6号窗口现场办理，地址：泰州市高港区泰州大道388号（原中国医药城会展交易中心W3馆西南角）。联系方式：江苏意源科技有限公司：王娟娟18051956669、陈路17327800634。方正国际软件（北京）有限公司：周正波15195926199。</w:t>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3.新CA和电子签章正式启用时间：对2023年9月11日发布采购公告的项目供应商使用原CA电子签章参与项目。“苏采云”系统自2023年9月11日起支持所有用户进行原CA解绑和新CA绑定操作。2023年10月12日起，“苏采云”系统正式启用新CA和电子签章，不再支持原CA和电子签章。</w:t>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4.登录“苏采云”系统请使用谷歌浏览器！更换好CA和电子签章后下载安装相关驱动和客户端（下载地址：</w:t>
      </w:r>
      <w:r>
        <w:rPr>
          <w:color w:val="auto"/>
          <w:highlight w:val="none"/>
        </w:rPr>
        <w:fldChar w:fldCharType="begin"/>
      </w:r>
      <w:r>
        <w:rPr>
          <w:color w:val="auto"/>
          <w:highlight w:val="none"/>
        </w:rPr>
        <w:instrText xml:space="preserve"> HYPERLINK "http://www.ccgp-jiangsu.gov.cn/zlxz）。" </w:instrText>
      </w:r>
      <w:r>
        <w:rPr>
          <w:color w:val="auto"/>
          <w:highlight w:val="none"/>
        </w:rPr>
        <w:fldChar w:fldCharType="separate"/>
      </w:r>
      <w:r>
        <w:rPr>
          <w:rFonts w:hint="eastAsia" w:ascii="仿宋" w:hAnsi="仿宋" w:eastAsia="仿宋" w:cs="仿宋"/>
          <w:color w:val="auto"/>
          <w:sz w:val="24"/>
          <w:highlight w:val="none"/>
          <w:shd w:val="clear" w:color="auto" w:fill="ffffff"/>
        </w:rPr>
        <w:t xml:space="preserve">http://www.ccgp-jiangsu.gov.cn/zlxz）。</w:t>
      </w:r>
      <w:r>
        <w:rPr>
          <w:rFonts w:hint="eastAsia" w:ascii="仿宋" w:hAnsi="仿宋" w:eastAsia="仿宋" w:cs="仿宋"/>
          <w:color w:val="auto"/>
          <w:sz w:val="24"/>
          <w:highlight w:val="none"/>
          <w:shd w:val="clear" w:color="auto" w:fill="ffffff"/>
        </w:rPr>
        <w:fldChar w:fldCharType="end"/>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5.如潜在供应商未按上述要求操作，将自行承担所产生的风险。</w:t>
      </w:r>
      <w:r/>
    </w:p>
    <w:p>
      <w:pPr>
        <w:pStyle w:val="901"/>
        <w:rPr>
          <w:color w:val="auto"/>
          <w:highlight w:val="none"/>
        </w:rPr>
      </w:pPr>
      <w:r>
        <w:rPr>
          <w:color w:val="auto"/>
          <w:highlight w:val="none"/>
        </w:rPr>
      </w:r>
      <w:r/>
    </w:p>
    <w:p>
      <w:pPr>
        <w:pStyle w:val="901"/>
        <w:rPr>
          <w:color w:val="auto"/>
          <w:highlight w:val="none"/>
        </w:rPr>
      </w:pPr>
      <w:r>
        <w:rPr>
          <w:color w:val="auto"/>
          <w:highlight w:val="none"/>
        </w:rPr>
      </w:r>
      <w:r/>
    </w:p>
    <w:p>
      <w:pPr>
        <w:pStyle w:val="901"/>
        <w:rPr>
          <w:color w:val="auto"/>
          <w:highlight w:val="none"/>
        </w:rPr>
      </w:pPr>
      <w:r>
        <w:rPr>
          <w:color w:val="auto"/>
          <w:highlight w:val="none"/>
        </w:rPr>
      </w:r>
      <w:r/>
    </w:p>
    <w:p>
      <w:pPr>
        <w:pStyle w:val="901"/>
        <w:rPr>
          <w:color w:val="auto"/>
          <w:highlight w:val="none"/>
        </w:rPr>
      </w:pPr>
      <w:r>
        <w:rPr>
          <w:color w:val="auto"/>
          <w:highlight w:val="none"/>
        </w:rPr>
      </w:r>
      <w:r/>
    </w:p>
    <w:p>
      <w:pPr>
        <w:pStyle w:val="901"/>
        <w:rPr>
          <w:color w:val="auto"/>
          <w:highlight w:val="none"/>
        </w:rPr>
      </w:pPr>
      <w:r>
        <w:rPr>
          <w:color w:val="auto"/>
          <w:highlight w:val="none"/>
        </w:rPr>
      </w:r>
      <w:r/>
    </w:p>
    <w:p>
      <w:pPr>
        <w:pStyle w:val="901"/>
        <w:rPr>
          <w:color w:val="auto"/>
          <w:highlight w:val="none"/>
        </w:rPr>
      </w:pPr>
      <w:r>
        <w:rPr>
          <w:color w:val="auto"/>
          <w:highlight w:val="none"/>
        </w:rPr>
      </w:r>
      <w:r/>
    </w:p>
    <w:p>
      <w:pPr>
        <w:pStyle w:val="901"/>
        <w:rPr>
          <w:color w:val="auto"/>
          <w:highlight w:val="none"/>
        </w:rPr>
      </w:pPr>
      <w:r>
        <w:rPr>
          <w:color w:val="auto"/>
          <w:highlight w:val="none"/>
        </w:rPr>
      </w:r>
      <w:r/>
    </w:p>
    <w:p>
      <w:pPr>
        <w:pStyle w:val="901"/>
        <w:rPr>
          <w:color w:val="auto"/>
          <w:highlight w:val="none"/>
        </w:rPr>
      </w:pPr>
      <w:r>
        <w:rPr>
          <w:color w:val="auto"/>
          <w:highlight w:val="none"/>
        </w:rPr>
      </w:r>
      <w:r/>
    </w:p>
    <w:p>
      <w:pPr>
        <w:pStyle w:val="901"/>
        <w:rPr>
          <w:color w:val="auto"/>
          <w:highlight w:val="none"/>
        </w:rPr>
      </w:pPr>
      <w:r>
        <w:rPr>
          <w:color w:val="auto"/>
          <w:highlight w:val="none"/>
        </w:rPr>
      </w:r>
      <w:r/>
    </w:p>
    <w:p>
      <w:pPr>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四、政府采购电子履约保函（保险）告知提醒</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1.业务基本情况</w:t>
      </w:r>
      <w:r/>
    </w:p>
    <w:p>
      <w:pPr>
        <w:ind w:firstLine="420"/>
        <w:jc w:val="left"/>
        <w:spacing w:line="300" w:lineRule="auto"/>
        <w:widowControl/>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2.参与各方职责  </w:t>
      </w:r>
      <w:r/>
    </w:p>
    <w:p>
      <w:pPr>
        <w:ind w:firstLine="420"/>
        <w:jc w:val="left"/>
        <w:spacing w:line="300" w:lineRule="auto"/>
        <w:widowControl/>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①</w:t>
      </w:r>
      <w:r>
        <w:rPr>
          <w:rFonts w:hint="eastAsia" w:ascii="仿宋" w:hAnsi="仿宋" w:eastAsia="仿宋" w:cs="仿宋"/>
          <w:color w:val="auto"/>
          <w:sz w:val="24"/>
          <w:highlight w:val="none"/>
          <w:shd w:val="clear" w:color="auto" w:fill="ffffff"/>
        </w:rPr>
        <w:t xml:space="preserve">供应商。供应商可登录江苏政府采购网“资料下载”栏目（网址：www. ccgp-jiangsu. gov. cn/j iangsu/zlxz）下载“政府采购电子履约保函（保险）操作手册”。真实、完整、准确地向第三方机构提供保函（保险）申请审核所需材料。 </w:t>
      </w:r>
      <w:r/>
    </w:p>
    <w:p>
      <w:pPr>
        <w:ind w:firstLine="420"/>
        <w:jc w:val="left"/>
        <w:spacing w:line="300" w:lineRule="auto"/>
        <w:widowControl/>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②</w:t>
      </w:r>
      <w:r>
        <w:rPr>
          <w:rFonts w:hint="eastAsia" w:ascii="仿宋" w:hAnsi="仿宋" w:eastAsia="仿宋" w:cs="仿宋"/>
          <w:color w:val="auto"/>
          <w:sz w:val="24"/>
          <w:highlight w:val="none"/>
          <w:shd w:val="clear" w:color="auto" w:fill="ffffff"/>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20"/>
        <w:jc w:val="left"/>
        <w:spacing w:line="300" w:lineRule="auto"/>
        <w:widowControl/>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③</w:t>
      </w:r>
      <w:r>
        <w:rPr>
          <w:rFonts w:hint="eastAsia" w:ascii="仿宋" w:hAnsi="仿宋" w:eastAsia="仿宋" w:cs="仿宋"/>
          <w:color w:val="auto"/>
          <w:sz w:val="24"/>
          <w:highlight w:val="none"/>
          <w:shd w:val="clear" w:color="auto" w:fill="ffffff"/>
        </w:rPr>
        <w:t xml:space="preserve">采购代理机构。在采购文件中列示可以以履约保函（保险）形式代替提供履约保证金相关内容，在供应商获取采购文件、领取中标（成交）通知书等环节主动宣传相关政策。</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3.业务模式和流程</w:t>
      </w:r>
      <w:r/>
    </w:p>
    <w:p>
      <w:pPr>
        <w:pStyle w:val="901"/>
        <w:ind w:firstLine="480"/>
        <w:spacing w:line="300" w:lineRule="auto"/>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923"/>
        <w:ind w:firstLine="480"/>
        <w:spacing w:after="0" w:line="360" w:lineRule="exact"/>
        <w:rPr>
          <w:rFonts w:ascii="仿宋" w:hAnsi="仿宋" w:eastAsia="仿宋" w:cs="仿宋"/>
          <w:color w:val="auto"/>
          <w:highlight w:val="none"/>
        </w:rPr>
      </w:pPr>
      <w:r>
        <w:rPr>
          <w:rFonts w:ascii="仿宋" w:hAnsi="仿宋" w:eastAsia="仿宋" w:cs="仿宋"/>
          <w:color w:val="auto"/>
          <w:highlight w:val="none"/>
        </w:rPr>
      </w:r>
      <w:r/>
    </w:p>
    <w:p>
      <w:pPr>
        <w:pStyle w:val="920"/>
        <w:jc w:val="center"/>
        <w:spacing w:beforeAutospacing="0" w:afterAutospacing="0" w:line="0" w:lineRule="atLeas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五、竞争性谈判、磋商不见面交易注意事项</w:t>
      </w:r>
      <w:r/>
    </w:p>
    <w:p>
      <w:pPr>
        <w:pStyle w:val="920"/>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1.安装调试音视频设备。各供应商在投标前按照要求装好耳麦、摄像头等通讯工具。</w:t>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2.确保音视频畅通。竞争性谈判、磋商项目需要进行谈判、磋商程序，请各供应商在投标前按照要求对耳麦、摄像头等通讯工具进行最终调试，可以利用微信或qq等相关软件进行测试，确保在谈判、磋商过程可以正常进行。</w:t>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3.及时完成最终报价。竞争性谈判、磋商项目需要供应商进行最终报价，请各供应商在项目评标结束之前不要擅自离开“苏采云”交易系统开标大厅，待评审专家开启最终报价程序后，及时准确完成最终报价。</w:t>
      </w:r>
      <w:r/>
    </w:p>
    <w:p>
      <w:pPr>
        <w:pStyle w:val="920"/>
        <w:jc w:val="center"/>
        <w:spacing w:beforeAutospacing="0" w:afterAutospacing="0" w:line="0" w:lineRule="atLeas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六、供应商相关法律责任提醒</w:t>
      </w:r>
      <w:r/>
    </w:p>
    <w:p>
      <w:pPr>
        <w:pStyle w:val="920"/>
        <w:ind w:firstLine="643"/>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相关法律法规：</w:t>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w:t>
      </w:r>
      <w:r>
        <w:rPr>
          <w:rFonts w:hint="eastAsia" w:ascii="仿宋" w:hAnsi="仿宋" w:eastAsia="仿宋" w:cs="仿宋"/>
          <w:color w:val="auto"/>
          <w:highlight w:val="none"/>
          <w:shd w:val="clear" w:color="auto" w:fill="ffffff"/>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（一）提供虚假材料谋取中标、成交的；</w:t>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（二）采取不正当手段诋毁、排挤其他供应商的；</w:t>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（三）与采购人、其他供应商或者采购代理机构恶意串通的；</w:t>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（四）向采购人、采购代理机构行贿或者提供其他不正当利益的；</w:t>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（五）在招标采购过程中与采购人进行协商谈判的；</w:t>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（六）拒绝有关部门监督检查或者提供虚假情况的。</w:t>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供应商有前款第（一）至（五）项情形之一的，中标、成交无效。</w:t>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《政府采购法实施条例》</w:t>
      </w:r>
      <w:r>
        <w:rPr>
          <w:rFonts w:hint="eastAsia" w:ascii="仿宋" w:hAnsi="仿宋" w:eastAsia="仿宋" w:cs="仿宋"/>
          <w:color w:val="auto"/>
          <w:highlight w:val="none"/>
          <w:shd w:val="clear" w:color="auto" w:fill="ffffff"/>
        </w:rPr>
        <w:t xml:space="preserve">第七十二条 供应商有下列情形之一的，依照政府采购法第七十七条第一款的规定追究法律责任：</w:t>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（一）向评标委员会、竞争性谈判小组或者询价小组成员行贿或者提供其他不正当利益；</w:t>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（二）中标或者成交后无正当理由拒不与采购人签订政府采购合同；</w:t>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（三）未按照采购文件确定的事项签订政府采购合同；</w:t>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（四）将政府采购合同转包；</w:t>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（五）提供假冒伪劣产品；</w:t>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（六）擅自变更、中止或者终止政府采购合同。</w:t>
      </w:r>
      <w:r/>
    </w:p>
    <w:p>
      <w:pPr>
        <w:pStyle w:val="920"/>
        <w:ind w:firstLine="641"/>
        <w:spacing w:beforeAutospacing="0" w:afterAutospacing="0" w:line="300" w:lineRule="auto"/>
        <w:rPr>
          <w:rFonts w:ascii="仿宋" w:hAnsi="仿宋" w:eastAsia="仿宋" w:cs="仿宋"/>
          <w:color w:val="auto"/>
          <w:highlight w:val="none"/>
          <w:shd w:val="clear" w:color="auto" w:fill="ffffff"/>
        </w:rPr>
        <w:sectPr>
          <w:headerReference w:type="default" r:id="rId12"/>
          <w:headerReference w:type="first" r:id="rId13"/>
          <w:footnotePr/>
          <w:endnotePr/>
          <w:type w:val="nextPage"/>
          <w:pgSz w:w="11906" w:h="16838" w:orient="portrait"/>
          <w:pgMar w:top="1215" w:right="1418" w:bottom="1400" w:left="1418" w:header="851" w:footer="992" w:gutter="0"/>
          <w:cols w:num="1" w:sep="0" w:space="720" w:equalWidth="1"/>
          <w:docGrid w:linePitch="360"/>
          <w:titlePg/>
        </w:sectPr>
      </w:pPr>
      <w:r>
        <w:rPr>
          <w:rFonts w:hint="eastAsia" w:ascii="仿宋" w:hAnsi="仿宋" w:eastAsia="仿宋" w:cs="仿宋"/>
          <w:color w:val="auto"/>
          <w:highlight w:val="none"/>
          <w:shd w:val="clear" w:color="auto" w:fill="ffffff"/>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目        录</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1151"/>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竞争性磋商公告</w:t>
      </w:r>
      <w:r/>
    </w:p>
    <w:p>
      <w:pPr>
        <w:pStyle w:val="1151"/>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第一章  供应商须知</w:t>
      </w:r>
      <w:r>
        <w:rPr>
          <w:rFonts w:hint="eastAsia" w:ascii="仿宋" w:hAnsi="仿宋" w:eastAsia="仿宋" w:cs="仿宋"/>
          <w:b/>
          <w:color w:val="auto"/>
          <w:sz w:val="30"/>
          <w:szCs w:val="30"/>
          <w:highlight w:val="none"/>
        </w:rPr>
        <w:tab/>
      </w:r>
      <w:r/>
    </w:p>
    <w:p>
      <w:pPr>
        <w:pStyle w:val="1151"/>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第二章  磋商文件</w:t>
      </w:r>
      <w:r>
        <w:rPr>
          <w:rFonts w:hint="eastAsia" w:ascii="仿宋" w:hAnsi="仿宋" w:eastAsia="仿宋" w:cs="仿宋"/>
          <w:b/>
          <w:color w:val="auto"/>
          <w:sz w:val="30"/>
          <w:szCs w:val="30"/>
          <w:highlight w:val="none"/>
        </w:rPr>
        <w:tab/>
      </w:r>
      <w:r/>
    </w:p>
    <w:p>
      <w:pPr>
        <w:pStyle w:val="1151"/>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第三章  磋商响应价格范围、响应文件编制</w:t>
      </w:r>
      <w:r>
        <w:rPr>
          <w:rFonts w:hint="eastAsia" w:ascii="仿宋" w:hAnsi="仿宋" w:eastAsia="仿宋" w:cs="仿宋"/>
          <w:b/>
          <w:color w:val="auto"/>
          <w:sz w:val="30"/>
          <w:szCs w:val="30"/>
          <w:highlight w:val="none"/>
        </w:rPr>
        <w:tab/>
      </w:r>
      <w:r/>
    </w:p>
    <w:p>
      <w:pPr>
        <w:pStyle w:val="1151"/>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第四章  供应商应当提交的资格、资信证明文件</w:t>
      </w:r>
      <w:r>
        <w:rPr>
          <w:rFonts w:hint="eastAsia" w:ascii="仿宋" w:hAnsi="仿宋" w:eastAsia="仿宋" w:cs="仿宋"/>
          <w:b/>
          <w:color w:val="auto"/>
          <w:sz w:val="30"/>
          <w:szCs w:val="30"/>
          <w:highlight w:val="none"/>
        </w:rPr>
        <w:tab/>
      </w:r>
      <w:r/>
    </w:p>
    <w:p>
      <w:pPr>
        <w:pStyle w:val="1151"/>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第五章  响应截止时间、开标时间以及地点</w:t>
      </w:r>
      <w:r>
        <w:rPr>
          <w:rFonts w:hint="eastAsia" w:ascii="仿宋" w:hAnsi="仿宋" w:eastAsia="仿宋" w:cs="仿宋"/>
          <w:b/>
          <w:color w:val="auto"/>
          <w:sz w:val="30"/>
          <w:szCs w:val="30"/>
          <w:highlight w:val="none"/>
        </w:rPr>
        <w:tab/>
      </w:r>
      <w:r/>
    </w:p>
    <w:p>
      <w:pPr>
        <w:pStyle w:val="1151"/>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第六章  开标、磋商、中标以及废标</w:t>
      </w:r>
      <w:r>
        <w:rPr>
          <w:rFonts w:hint="eastAsia" w:ascii="仿宋" w:hAnsi="仿宋" w:eastAsia="仿宋" w:cs="仿宋"/>
          <w:b/>
          <w:color w:val="auto"/>
          <w:sz w:val="30"/>
          <w:szCs w:val="30"/>
          <w:highlight w:val="none"/>
        </w:rPr>
        <w:tab/>
      </w:r>
      <w:r/>
    </w:p>
    <w:p>
      <w:pPr>
        <w:pStyle w:val="1151"/>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第七章  签订合同、合同主要条款</w:t>
      </w:r>
      <w:r>
        <w:rPr>
          <w:rFonts w:hint="eastAsia" w:ascii="仿宋" w:hAnsi="仿宋" w:eastAsia="仿宋" w:cs="仿宋"/>
          <w:b/>
          <w:color w:val="auto"/>
          <w:sz w:val="30"/>
          <w:szCs w:val="30"/>
          <w:highlight w:val="none"/>
        </w:rPr>
        <w:tab/>
      </w:r>
      <w:r/>
    </w:p>
    <w:p>
      <w:pPr>
        <w:pStyle w:val="1151"/>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第八章  纪律和监督</w:t>
      </w:r>
      <w:r>
        <w:rPr>
          <w:rFonts w:hint="eastAsia" w:ascii="仿宋" w:hAnsi="仿宋" w:eastAsia="仿宋" w:cs="仿宋"/>
          <w:b/>
          <w:color w:val="auto"/>
          <w:sz w:val="30"/>
          <w:szCs w:val="30"/>
          <w:highlight w:val="none"/>
        </w:rPr>
        <w:tab/>
      </w:r>
      <w:r/>
    </w:p>
    <w:p>
      <w:pPr>
        <w:pStyle w:val="1151"/>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第九章  质疑与投诉</w:t>
      </w:r>
      <w:r>
        <w:rPr>
          <w:rFonts w:hint="eastAsia" w:ascii="仿宋" w:hAnsi="仿宋" w:eastAsia="仿宋" w:cs="仿宋"/>
          <w:b/>
          <w:color w:val="auto"/>
          <w:sz w:val="30"/>
          <w:szCs w:val="30"/>
          <w:highlight w:val="none"/>
        </w:rPr>
        <w:tab/>
      </w:r>
      <w:r/>
    </w:p>
    <w:p>
      <w:pPr>
        <w:pStyle w:val="1151"/>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第十章  交货和提供服务的时间</w:t>
      </w:r>
      <w:r>
        <w:rPr>
          <w:rFonts w:hint="eastAsia" w:ascii="仿宋" w:hAnsi="仿宋" w:eastAsia="仿宋" w:cs="仿宋"/>
          <w:b/>
          <w:color w:val="auto"/>
          <w:sz w:val="30"/>
          <w:szCs w:val="30"/>
          <w:highlight w:val="none"/>
        </w:rPr>
        <w:tab/>
      </w:r>
      <w:r/>
    </w:p>
    <w:p>
      <w:pPr>
        <w:pStyle w:val="1151"/>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第十一章  项目需求以及技术要求</w:t>
      </w:r>
      <w:r>
        <w:rPr>
          <w:rFonts w:hint="eastAsia" w:ascii="仿宋" w:hAnsi="仿宋" w:eastAsia="仿宋" w:cs="仿宋"/>
          <w:b/>
          <w:color w:val="auto"/>
          <w:sz w:val="30"/>
          <w:szCs w:val="30"/>
          <w:highlight w:val="none"/>
        </w:rPr>
        <w:tab/>
      </w:r>
      <w:r/>
    </w:p>
    <w:p>
      <w:pPr>
        <w:pStyle w:val="1151"/>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第十二章  评标办法</w:t>
      </w:r>
      <w:r>
        <w:rPr>
          <w:rFonts w:hint="eastAsia" w:ascii="仿宋" w:hAnsi="仿宋" w:eastAsia="仿宋" w:cs="仿宋"/>
          <w:b/>
          <w:color w:val="auto"/>
          <w:sz w:val="30"/>
          <w:szCs w:val="30"/>
          <w:highlight w:val="none"/>
        </w:rPr>
        <w:tab/>
      </w:r>
      <w:r/>
    </w:p>
    <w:p>
      <w:pPr>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第十三章  响应文件格式</w:t>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pStyle w:val="1099"/>
        <w:jc w:val="center"/>
        <w:spacing w:before="0" w:after="0" w:line="360" w:lineRule="auto"/>
        <w:tabs>
          <w:tab w:val="left" w:pos="-142" w:leader="none"/>
          <w:tab w:val="left" w:pos="3165" w:leader="none"/>
          <w:tab w:val="center" w:pos="4153" w:leader="none"/>
        </w:tabs>
        <w:rPr>
          <w:rFonts w:ascii="仿宋" w:hAnsi="仿宋" w:eastAsia="仿宋" w:cs="仿宋"/>
          <w:bCs/>
          <w:color w:val="auto"/>
          <w:sz w:val="24"/>
          <w:szCs w:val="24"/>
          <w:highlight w:val="none"/>
          <w:lang w:val="en-GB"/>
        </w:rPr>
        <w:sectPr>
          <w:footnotePr/>
          <w:endnotePr/>
          <w:type w:val="nextPage"/>
          <w:pgSz w:w="11906" w:h="16838" w:orient="portrait"/>
          <w:pgMar w:top="1215" w:right="1418" w:bottom="1400" w:left="1418" w:header="851" w:footer="992" w:gutter="0"/>
          <w:cols w:num="1" w:sep="0" w:space="1701" w:equalWidth="1"/>
          <w:docGrid w:linePitch="360"/>
          <w:titlePg/>
        </w:sectPr>
      </w:pPr>
      <w:r/>
      <w:bookmarkStart w:id="2" w:name="_Toc35393789"/>
      <w:r/>
      <w:bookmarkStart w:id="3" w:name="_Toc28359001"/>
      <w:r/>
      <w:r/>
    </w:p>
    <w:p>
      <w:pPr>
        <w:pStyle w:val="1099"/>
        <w:jc w:val="center"/>
        <w:spacing w:before="0" w:after="0" w:line="360" w:lineRule="auto"/>
        <w:tabs>
          <w:tab w:val="left" w:pos="-142" w:leader="none"/>
          <w:tab w:val="left" w:pos="3165" w:leader="none"/>
          <w:tab w:val="center" w:pos="4153" w:leader="none"/>
        </w:tabs>
        <w:rPr>
          <w:rFonts w:ascii="仿宋" w:hAnsi="仿宋" w:eastAsia="仿宋" w:cs="仿宋"/>
          <w:bCs/>
          <w:color w:val="auto"/>
          <w:sz w:val="24"/>
          <w:szCs w:val="24"/>
          <w:highlight w:val="none"/>
          <w:lang w:val="en-GB"/>
        </w:rPr>
      </w:pPr>
      <w:r>
        <w:rPr>
          <w:rFonts w:hint="eastAsia" w:ascii="仿宋" w:hAnsi="仿宋" w:eastAsia="仿宋" w:cs="仿宋"/>
          <w:bCs/>
          <w:color w:val="auto"/>
          <w:sz w:val="28"/>
          <w:szCs w:val="28"/>
          <w:highlight w:val="none"/>
          <w:lang w:val="en-GB"/>
        </w:rPr>
        <w:t xml:space="preserve">靖江市美丽河湖水生态调查评估项目</w:t>
      </w:r>
      <w:r>
        <w:rPr>
          <w:rFonts w:hint="eastAsia" w:ascii="仿宋" w:hAnsi="仿宋" w:eastAsia="仿宋" w:cs="仿宋"/>
          <w:color w:val="auto"/>
          <w:sz w:val="28"/>
          <w:szCs w:val="28"/>
          <w:highlight w:val="none"/>
          <w:lang w:val="zh-CN"/>
        </w:rPr>
        <w:t xml:space="preserve">竞争性磋商</w:t>
      </w:r>
      <w:r>
        <w:rPr>
          <w:rFonts w:hint="eastAsia" w:ascii="仿宋" w:hAnsi="仿宋" w:eastAsia="仿宋" w:cs="仿宋"/>
          <w:color w:val="auto"/>
          <w:sz w:val="28"/>
          <w:szCs w:val="28"/>
          <w:highlight w:val="none"/>
        </w:rPr>
        <w:t xml:space="preserve">公告</w:t>
      </w:r>
      <w:bookmarkEnd w:id="2"/>
      <w:r/>
      <w:bookmarkEnd w:id="3"/>
      <w:r/>
      <w:r/>
    </w:p>
    <w:p>
      <w:pPr>
        <w:ind w:firstLine="480"/>
        <w:spacing w:line="300" w:lineRule="auto"/>
        <w:rPr>
          <w:rFonts w:ascii="仿宋" w:hAnsi="仿宋" w:eastAsia="仿宋" w:cs="仿宋"/>
          <w:color w:val="auto"/>
          <w:sz w:val="24"/>
          <w:highlight w:val="none"/>
          <w:lang w:val="zh-CN"/>
        </w:rPr>
        <w:pBdr>
          <w:top w:val="single" w:color="000000" w:sz="4" w:space="1"/>
          <w:left w:val="single" w:color="000000" w:sz="4" w:space="4"/>
          <w:bottom w:val="single" w:color="000000" w:sz="4" w:space="0"/>
          <w:right w:val="single" w:color="000000" w:sz="4" w:space="4"/>
        </w:pBdr>
      </w:pPr>
      <w:r/>
      <w:bookmarkStart w:id="4" w:name="OLE_LINK2"/>
      <w:r>
        <w:rPr>
          <w:rFonts w:hint="eastAsia" w:ascii="仿宋" w:hAnsi="仿宋" w:eastAsia="仿宋" w:cs="仿宋"/>
          <w:color w:val="auto"/>
          <w:sz w:val="24"/>
          <w:highlight w:val="none"/>
          <w:lang w:val="zh-CN"/>
        </w:rPr>
        <w:t xml:space="preserve">江苏金宸招标代理有限公司</w:t>
      </w:r>
      <w:r>
        <w:rPr>
          <w:rFonts w:hint="eastAsia" w:ascii="仿宋" w:hAnsi="仿宋" w:eastAsia="仿宋" w:cs="仿宋"/>
          <w:color w:val="auto"/>
          <w:sz w:val="24"/>
          <w:highlight w:val="none"/>
          <w:lang w:val="en-GB"/>
        </w:rPr>
        <w:t xml:space="preserve">受</w:t>
      </w:r>
      <w:r>
        <w:rPr>
          <w:rFonts w:hint="eastAsia" w:ascii="仿宋" w:hAnsi="仿宋" w:eastAsia="仿宋" w:cs="仿宋"/>
          <w:color w:val="auto"/>
          <w:sz w:val="24"/>
          <w:highlight w:val="none"/>
          <w:lang w:val="zh-CN"/>
        </w:rPr>
        <w:t xml:space="preserve">泰州市靖江生态环境局委托对靖江市美丽河湖水生态调查评估项目以竞争性磋商方式组织政府采购。本次项目的公告及有关变更信息在江苏政府采购网（</w:t>
      </w:r>
      <w:r>
        <w:rPr>
          <w:rFonts w:hint="eastAsia" w:ascii="仿宋" w:hAnsi="仿宋" w:eastAsia="仿宋"/>
          <w:color w:val="auto"/>
          <w:sz w:val="24"/>
          <w:highlight w:val="none"/>
          <w:u w:val="single"/>
        </w:rPr>
        <w:t xml:space="preserve">http://www.ccgp-jiangsu.gov.cn/</w:t>
      </w:r>
      <w:r>
        <w:rPr>
          <w:rFonts w:hint="eastAsia" w:ascii="仿宋" w:hAnsi="仿宋" w:eastAsia="仿宋" w:cs="仿宋"/>
          <w:color w:val="auto"/>
          <w:sz w:val="24"/>
          <w:highlight w:val="none"/>
          <w:lang w:val="zh-CN"/>
        </w:rPr>
        <w:t xml:space="preserve">）发布，请潜在供应商及时关注网站信息。本项目的潜在供应商应江苏政府采购“苏采云”系统 (http: //jszfcgjsczt.cn/) 获取</w:t>
      </w:r>
      <w:r>
        <w:rPr>
          <w:rFonts w:hint="eastAsia" w:ascii="仿宋" w:hAnsi="仿宋" w:eastAsia="仿宋" w:cs="仿宋"/>
          <w:color w:val="auto"/>
          <w:sz w:val="24"/>
          <w:highlight w:val="none"/>
        </w:rPr>
        <w:t xml:space="preserve">响应</w:t>
      </w:r>
      <w:r>
        <w:rPr>
          <w:rFonts w:hint="eastAsia" w:ascii="仿宋" w:hAnsi="仿宋" w:eastAsia="仿宋" w:cs="仿宋"/>
          <w:color w:val="auto"/>
          <w:sz w:val="24"/>
          <w:highlight w:val="none"/>
          <w:lang w:val="zh-CN"/>
        </w:rPr>
        <w:t xml:space="preserve">文件，并于</w:t>
      </w:r>
      <w:r>
        <w:rPr>
          <w:rFonts w:hint="eastAsia" w:ascii="仿宋" w:hAnsi="仿宋" w:eastAsia="仿宋"/>
          <w:color w:val="auto"/>
          <w:sz w:val="24"/>
          <w:highlight w:val="none"/>
          <w:lang w:val="zh-CN"/>
        </w:rPr>
        <w:t xml:space="preserve">202</w:t>
      </w: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zh-CN"/>
        </w:rPr>
        <w:t xml:space="preserve">年</w:t>
      </w: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zh-CN"/>
        </w:rPr>
        <w:t xml:space="preserve">月</w:t>
      </w:r>
      <w:r>
        <w:rPr>
          <w:rFonts w:hint="eastAsia" w:ascii="仿宋" w:hAnsi="仿宋" w:eastAsia="仿宋"/>
          <w:color w:val="auto"/>
          <w:sz w:val="24"/>
          <w:highlight w:val="none"/>
          <w:lang w:val="en-US" w:eastAsia="zh-CN"/>
        </w:rPr>
        <w:t xml:space="preserve">8</w:t>
      </w:r>
      <w:r>
        <w:rPr>
          <w:rFonts w:hint="eastAsia" w:ascii="仿宋" w:hAnsi="仿宋" w:eastAsia="仿宋"/>
          <w:color w:val="auto"/>
          <w:sz w:val="24"/>
          <w:highlight w:val="none"/>
          <w:lang w:val="zh-CN"/>
        </w:rPr>
        <w:t xml:space="preserve">日</w:t>
      </w:r>
      <w:r>
        <w:rPr>
          <w:rFonts w:hint="eastAsia" w:ascii="仿宋" w:hAnsi="仿宋" w:eastAsia="仿宋"/>
          <w:color w:val="auto"/>
          <w:sz w:val="24"/>
          <w:highlight w:val="none"/>
        </w:rPr>
        <w:t xml:space="preserve">9</w:t>
      </w:r>
      <w:r>
        <w:rPr>
          <w:rFonts w:hint="eastAsia" w:ascii="仿宋" w:hAnsi="仿宋" w:eastAsia="仿宋"/>
          <w:color w:val="auto"/>
          <w:sz w:val="24"/>
          <w:highlight w:val="none"/>
          <w:lang w:val="zh-CN"/>
        </w:rPr>
        <w:t xml:space="preserve">时</w:t>
      </w:r>
      <w:r>
        <w:rPr>
          <w:rFonts w:hint="eastAsia" w:ascii="仿宋" w:hAnsi="仿宋" w:eastAsia="仿宋"/>
          <w:color w:val="auto"/>
          <w:sz w:val="24"/>
          <w:highlight w:val="none"/>
        </w:rPr>
        <w:t xml:space="preserve">0</w:t>
      </w:r>
      <w:r>
        <w:rPr>
          <w:rFonts w:hint="eastAsia" w:ascii="仿宋" w:hAnsi="仿宋" w:eastAsia="仿宋"/>
          <w:color w:val="auto"/>
          <w:sz w:val="24"/>
          <w:highlight w:val="none"/>
          <w:lang w:val="zh-CN"/>
        </w:rPr>
        <w:t xml:space="preserve">0分</w:t>
      </w:r>
      <w:r>
        <w:rPr>
          <w:rFonts w:hint="eastAsia" w:ascii="仿宋" w:hAnsi="仿宋" w:eastAsia="仿宋" w:cs="仿宋"/>
          <w:color w:val="auto"/>
          <w:sz w:val="24"/>
          <w:highlight w:val="none"/>
          <w:lang w:val="zh-CN"/>
        </w:rPr>
        <w:t xml:space="preserve">（北京时间）前递交响应文件（</w:t>
      </w:r>
      <w:r>
        <w:rPr>
          <w:rFonts w:hint="eastAsia" w:ascii="仿宋" w:hAnsi="仿宋" w:eastAsia="仿宋" w:cs="仿宋"/>
          <w:color w:val="auto"/>
          <w:sz w:val="24"/>
          <w:highlight w:val="none"/>
        </w:rPr>
        <w:t xml:space="preserve">线上</w:t>
      </w:r>
      <w:r>
        <w:rPr>
          <w:rFonts w:hint="eastAsia" w:ascii="仿宋" w:hAnsi="仿宋" w:eastAsia="仿宋" w:cs="仿宋"/>
          <w:color w:val="auto"/>
          <w:sz w:val="24"/>
          <w:highlight w:val="none"/>
          <w:lang w:val="zh-CN"/>
        </w:rPr>
        <w:t xml:space="preserve">）。</w:t>
      </w:r>
      <w:r/>
    </w:p>
    <w:p>
      <w:pPr>
        <w:pStyle w:val="1100"/>
        <w:numPr>
          <w:ilvl w:val="0"/>
          <w:numId w:val="6"/>
        </w:numPr>
        <w:ind w:firstLine="472"/>
        <w:spacing w:before="0" w:after="0" w:line="300" w:lineRule="auto"/>
        <w:rPr>
          <w:rFonts w:ascii="仿宋" w:hAnsi="仿宋" w:eastAsia="仿宋" w:cs="仿宋"/>
          <w:bCs w:val="0"/>
          <w:color w:val="auto"/>
          <w:sz w:val="24"/>
          <w:szCs w:val="24"/>
          <w:highlight w:val="none"/>
          <w:lang w:val="zh-CN"/>
        </w:rPr>
      </w:pPr>
      <w:r/>
      <w:bookmarkStart w:id="5" w:name="_Toc35393621"/>
      <w:r/>
      <w:bookmarkStart w:id="6" w:name="_Toc35393790"/>
      <w:r/>
      <w:bookmarkStart w:id="7" w:name="_Toc28359079"/>
      <w:r/>
      <w:bookmarkStart w:id="8" w:name="_Toc28359002"/>
      <w:r/>
      <w:bookmarkStart w:id="9" w:name="_Hlk24379207"/>
      <w:r>
        <w:rPr>
          <w:rFonts w:hint="eastAsia" w:ascii="仿宋" w:hAnsi="仿宋" w:eastAsia="仿宋" w:cs="仿宋"/>
          <w:bCs w:val="0"/>
          <w:color w:val="auto"/>
          <w:sz w:val="24"/>
          <w:szCs w:val="24"/>
          <w:highlight w:val="none"/>
          <w:lang w:val="zh-CN"/>
        </w:rPr>
        <w:t xml:space="preserve">项目基本情况</w:t>
      </w:r>
      <w:bookmarkEnd w:id="5"/>
      <w:r/>
      <w:bookmarkEnd w:id="6"/>
      <w:r/>
      <w:bookmarkEnd w:id="7"/>
      <w:r/>
      <w:bookmarkEnd w:id="8"/>
      <w:r/>
      <w:r/>
    </w:p>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zh-CN"/>
        </w:rPr>
        <w:t xml:space="preserve">1、项目编号：JSZC-321282-JCJJ-C2026-0005</w:t>
      </w:r>
      <w:r/>
    </w:p>
    <w:p>
      <w:pPr>
        <w:ind w:firstLine="480"/>
        <w:spacing w:line="300" w:lineRule="auto"/>
        <w:rPr>
          <w:rFonts w:ascii="仿宋" w:hAnsi="仿宋" w:eastAsia="仿宋" w:cs="仿宋"/>
          <w:bCs/>
          <w:color w:val="auto"/>
          <w:sz w:val="24"/>
          <w:highlight w:val="none"/>
          <w:lang w:val="en-GB"/>
        </w:rPr>
      </w:pPr>
      <w:r>
        <w:rPr>
          <w:rFonts w:hint="eastAsia" w:ascii="仿宋" w:hAnsi="仿宋" w:eastAsia="仿宋" w:cs="仿宋"/>
          <w:color w:val="auto"/>
          <w:sz w:val="24"/>
          <w:highlight w:val="none"/>
          <w:lang w:val="zh-CN"/>
        </w:rPr>
        <w:t xml:space="preserve">2、项目名称：</w:t>
      </w:r>
      <w:r>
        <w:rPr>
          <w:rFonts w:hint="eastAsia" w:ascii="仿宋" w:hAnsi="仿宋" w:eastAsia="仿宋" w:cs="仿宋"/>
          <w:bCs/>
          <w:color w:val="auto"/>
          <w:sz w:val="24"/>
          <w:highlight w:val="none"/>
          <w:lang w:val="en-GB"/>
        </w:rPr>
        <w:t xml:space="preserve">靖江市美丽河湖水生态调查评估项目</w:t>
      </w:r>
      <w:bookmarkEnd w:id="9"/>
      <w:r/>
      <w:r/>
    </w:p>
    <w:p>
      <w:pPr>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lang w:val="zh-CN"/>
        </w:rPr>
        <w:t xml:space="preserve">3、预算金额：</w:t>
      </w:r>
      <w:r>
        <w:rPr>
          <w:rFonts w:hint="eastAsia" w:ascii="仿宋" w:hAnsi="仿宋" w:eastAsia="仿宋" w:cs="仿宋"/>
          <w:bCs/>
          <w:color w:val="auto"/>
          <w:sz w:val="24"/>
          <w:highlight w:val="none"/>
          <w:lang w:val="en-GB"/>
        </w:rPr>
        <w:t xml:space="preserve">185</w:t>
      </w:r>
      <w:r>
        <w:rPr>
          <w:rFonts w:hint="eastAsia" w:ascii="仿宋" w:hAnsi="仿宋" w:eastAsia="仿宋" w:cs="仿宋"/>
          <w:bCs/>
          <w:color w:val="auto"/>
          <w:sz w:val="24"/>
          <w:highlight w:val="none"/>
        </w:rPr>
        <w:t xml:space="preserve">万元。</w:t>
      </w:r>
      <w:r/>
    </w:p>
    <w:p>
      <w:pPr>
        <w:ind w:firstLine="480"/>
        <w:spacing w:line="300" w:lineRule="auto"/>
        <w:rPr>
          <w:rFonts w:ascii="仿宋" w:hAnsi="仿宋" w:eastAsia="仿宋" w:cs="仿宋"/>
          <w:bCs/>
          <w:color w:val="auto"/>
          <w:sz w:val="24"/>
          <w:highlight w:val="none"/>
          <w:lang w:val="en-GB"/>
        </w:rPr>
      </w:pPr>
      <w:r>
        <w:rPr>
          <w:rFonts w:hint="eastAsia" w:ascii="仿宋" w:hAnsi="仿宋" w:eastAsia="仿宋" w:cs="仿宋"/>
          <w:color w:val="auto"/>
          <w:sz w:val="24"/>
          <w:highlight w:val="none"/>
          <w:lang w:val="en-GB"/>
        </w:rPr>
        <w:t xml:space="preserve">4</w:t>
      </w:r>
      <w:r>
        <w:rPr>
          <w:rFonts w:hint="eastAsia" w:ascii="仿宋" w:hAnsi="仿宋" w:eastAsia="仿宋" w:cs="仿宋"/>
          <w:color w:val="auto"/>
          <w:sz w:val="24"/>
          <w:highlight w:val="none"/>
          <w:lang w:val="zh-CN"/>
        </w:rPr>
        <w:t xml:space="preserve">、最高限价</w:t>
      </w:r>
      <w:r>
        <w:rPr>
          <w:rFonts w:hint="eastAsia" w:ascii="仿宋" w:hAnsi="仿宋" w:eastAsia="仿宋" w:cs="仿宋"/>
          <w:color w:val="auto"/>
          <w:sz w:val="24"/>
          <w:highlight w:val="none"/>
          <w:lang w:val="en-GB"/>
        </w:rPr>
        <w:t xml:space="preserve">：</w:t>
      </w:r>
      <w:r>
        <w:rPr>
          <w:rFonts w:hint="eastAsia" w:ascii="仿宋" w:hAnsi="仿宋" w:eastAsia="仿宋" w:cs="仿宋"/>
          <w:bCs/>
          <w:color w:val="auto"/>
          <w:sz w:val="24"/>
          <w:highlight w:val="none"/>
          <w:lang w:val="en-GB"/>
        </w:rPr>
        <w:t xml:space="preserve">18</w:t>
      </w:r>
      <w:r>
        <w:rPr>
          <w:rFonts w:hint="eastAsia" w:ascii="仿宋" w:hAnsi="仿宋" w:eastAsia="仿宋" w:cs="仿宋"/>
          <w:bCs/>
          <w:color w:val="auto"/>
          <w:sz w:val="24"/>
          <w:highlight w:val="none"/>
        </w:rPr>
        <w:t xml:space="preserve">5</w:t>
      </w:r>
      <w:r>
        <w:rPr>
          <w:rFonts w:hint="eastAsia" w:ascii="仿宋" w:hAnsi="仿宋" w:eastAsia="仿宋" w:cs="仿宋"/>
          <w:bCs/>
          <w:color w:val="auto"/>
          <w:sz w:val="24"/>
          <w:highlight w:val="none"/>
          <w:lang w:val="en-GB"/>
        </w:rPr>
        <w:t xml:space="preserve">万元。</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采购需求</w:t>
      </w:r>
      <w:r>
        <w:rPr>
          <w:rFonts w:hint="eastAsia" w:ascii="仿宋" w:hAnsi="仿宋" w:eastAsia="仿宋" w:cs="仿宋"/>
          <w:color w:val="auto"/>
          <w:sz w:val="24"/>
          <w:highlight w:val="none"/>
        </w:rPr>
        <w:t xml:space="preserve">：</w:t>
      </w:r>
      <w:r>
        <w:rPr>
          <w:rFonts w:hint="eastAsia" w:ascii="仿宋" w:hAnsi="仿宋" w:eastAsia="仿宋" w:cs="仿宋"/>
          <w:bCs/>
          <w:color w:val="auto"/>
          <w:sz w:val="24"/>
          <w:highlight w:val="none"/>
          <w:lang w:val="en-GB"/>
        </w:rPr>
        <w:t xml:space="preserve">靖江市美丽河湖水生态调查评估项目</w:t>
      </w:r>
      <w:r>
        <w:rPr>
          <w:rFonts w:hint="eastAsia" w:ascii="仿宋" w:hAnsi="仿宋" w:eastAsia="仿宋" w:cs="仿宋"/>
          <w:color w:val="auto"/>
          <w:sz w:val="24"/>
          <w:highlight w:val="none"/>
          <w:lang w:val="zh-CN"/>
        </w:rPr>
        <w:t xml:space="preserve">，</w:t>
      </w:r>
      <w:r>
        <w:rPr>
          <w:rFonts w:hint="eastAsia" w:ascii="仿宋" w:hAnsi="仿宋" w:eastAsia="仿宋" w:cs="仿宋"/>
          <w:bCs/>
          <w:color w:val="auto"/>
          <w:sz w:val="24"/>
          <w:highlight w:val="none"/>
        </w:rPr>
        <w:t xml:space="preserve">详细采购需求见采购文件。</w:t>
      </w:r>
      <w:r/>
    </w:p>
    <w:p>
      <w:pPr>
        <w:pStyle w:val="1100"/>
        <w:ind w:firstLine="472"/>
        <w:spacing w:before="0" w:after="0" w:line="300" w:lineRule="auto"/>
        <w:rPr>
          <w:rFonts w:ascii="仿宋" w:hAnsi="仿宋" w:eastAsia="仿宋" w:cs="仿宋"/>
          <w:bCs w:val="0"/>
          <w:color w:val="auto"/>
          <w:sz w:val="24"/>
          <w:szCs w:val="24"/>
          <w:highlight w:val="none"/>
          <w:lang w:val="zh-CN"/>
        </w:rPr>
      </w:pPr>
      <w:r/>
      <w:bookmarkStart w:id="10" w:name="_Toc28359080"/>
      <w:r/>
      <w:bookmarkStart w:id="11" w:name="_Toc28359003"/>
      <w:r/>
      <w:bookmarkStart w:id="12" w:name="_Toc35393791"/>
      <w:r/>
      <w:bookmarkStart w:id="13" w:name="_Toc35393622"/>
      <w:r>
        <w:rPr>
          <w:rFonts w:hint="eastAsia" w:ascii="仿宋" w:hAnsi="仿宋" w:eastAsia="仿宋" w:cs="仿宋"/>
          <w:bCs w:val="0"/>
          <w:color w:val="auto"/>
          <w:sz w:val="24"/>
          <w:szCs w:val="24"/>
          <w:highlight w:val="none"/>
          <w:lang w:val="zh-CN"/>
        </w:rPr>
        <w:t xml:space="preserve">二、申请人的资格要求：</w:t>
      </w:r>
      <w:bookmarkEnd w:id="10"/>
      <w:r/>
      <w:bookmarkEnd w:id="11"/>
      <w:r/>
      <w:bookmarkEnd w:id="12"/>
      <w:r/>
      <w:bookmarkEnd w:id="13"/>
      <w:r/>
      <w:r/>
    </w:p>
    <w:p>
      <w:pPr>
        <w:ind w:firstLine="480"/>
        <w:spacing w:line="300" w:lineRule="auto"/>
        <w:rPr>
          <w:rFonts w:ascii="仿宋" w:hAnsi="仿宋" w:eastAsia="仿宋" w:cs="仿宋"/>
          <w:color w:val="auto"/>
          <w:sz w:val="24"/>
          <w:highlight w:val="none"/>
          <w:lang w:val="zh-CN"/>
        </w:rPr>
      </w:pPr>
      <w:r/>
      <w:bookmarkStart w:id="14" w:name="_Toc28359081"/>
      <w:r/>
      <w:bookmarkStart w:id="15" w:name="_Toc35393792"/>
      <w:r/>
      <w:bookmarkStart w:id="16" w:name="_Toc35393623"/>
      <w:r/>
      <w:bookmarkStart w:id="17" w:name="_Toc28359004"/>
      <w:r>
        <w:rPr>
          <w:rFonts w:hint="eastAsia" w:ascii="仿宋" w:hAnsi="仿宋" w:eastAsia="仿宋" w:cs="仿宋"/>
          <w:color w:val="auto"/>
          <w:sz w:val="24"/>
          <w:highlight w:val="none"/>
          <w:lang w:val="zh-CN"/>
        </w:rPr>
        <w:t xml:space="preserve">1、满足《中华人民共和国政府采购法》第二十二条规定：</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（1）具有独立承担民事责任的能力；</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（2）具有良好的商业信誉和健全的财务会计制度（承诺制）；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（3）具备履行合同所必需的设备和专业技术能力（承诺制）；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（4）有依法缴纳税收和社会保障资金的良好记录（承诺制）；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（5）参加政府采购活动近3年内（成立时间不足三年的，可以自成立时间起）在经营活动中没有重大违法记录（承诺制）；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（6）未被列入“信用中国”网站(www.creditchina.gov.cn)严重失信主体名单；未被列入中国政府采购网(www.ccgp.gov.cn)政府采购严重违法失信行为记录名单的供应商；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zh-CN"/>
        </w:rPr>
        <w:t xml:space="preserve">）法律、行政法规规定的其他条件。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2、落实政府采购中小微企业扶持政策</w:t>
      </w:r>
      <w:r>
        <w:rPr>
          <w:rFonts w:hint="eastAsia" w:ascii="仿宋" w:hAnsi="仿宋" w:eastAsia="仿宋"/>
          <w:color w:val="auto"/>
          <w:sz w:val="24"/>
          <w:highlight w:val="none"/>
          <w:lang w:val="zh-CN"/>
        </w:rPr>
        <w:t xml:space="preserve">（本项目采购标的所属行业为“其他未列明行业”）</w:t>
      </w:r>
      <w:r>
        <w:rPr>
          <w:rFonts w:hint="eastAsia" w:ascii="仿宋" w:hAnsi="仿宋" w:eastAsia="仿宋" w:cs="仿宋"/>
          <w:color w:val="auto"/>
          <w:sz w:val="24"/>
          <w:highlight w:val="none"/>
          <w:lang w:val="zh-CN"/>
        </w:rPr>
        <w:t xml:space="preserve">：</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2.1财政部、工业和信息化部《政府采购促进中小企业发展管理办法》的通知（财库〔2020〕46号）、苏财购〔2021〕34号和《关于进一步加大政府采购支持中小企业力度的通知》（财库〔2022〕19号），本项目对符合条件的小微型企业给予</w:t>
      </w:r>
      <w:r>
        <w:rPr>
          <w:rFonts w:hint="eastAsia" w:ascii="仿宋" w:hAnsi="仿宋" w:eastAsia="仿宋"/>
          <w:color w:val="auto"/>
          <w:sz w:val="24"/>
          <w:highlight w:val="none"/>
        </w:rPr>
        <w:t xml:space="preserve">10</w:t>
      </w:r>
      <w:r>
        <w:rPr>
          <w:rFonts w:hint="eastAsia" w:ascii="仿宋" w:hAnsi="仿宋" w:eastAsia="仿宋"/>
          <w:color w:val="auto"/>
          <w:sz w:val="24"/>
          <w:highlight w:val="none"/>
          <w:lang w:val="zh-CN"/>
        </w:rPr>
        <w:t xml:space="preserve">%的价格扣除；</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2.2财政部、民政部、中国残疾人联合会《关于促进残疾人就业政府采购政策的通知》（财库[2017]141号），财政部、司法部《关于政府采购支持监狱企业发展有关问题的通知》（财库[2014]68号）</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zh-CN"/>
        </w:rPr>
        <w:t xml:space="preserve">本项目对符合条件的残疾人福利性单位、监狱企业给予10%的价格扣除。</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2.3以上政策不重复享受。</w:t>
      </w:r>
      <w:r/>
    </w:p>
    <w:p>
      <w:pPr>
        <w:pStyle w:val="1103"/>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zh-CN"/>
        </w:rPr>
        <w:t xml:space="preserve">、落实</w:t>
      </w:r>
      <w:r>
        <w:rPr>
          <w:rFonts w:hint="eastAsia" w:ascii="仿宋" w:hAnsi="仿宋" w:eastAsia="仿宋" w:cs="仿宋"/>
          <w:bCs/>
          <w:color w:val="auto"/>
          <w:sz w:val="24"/>
          <w:highlight w:val="none"/>
        </w:rPr>
        <w:t xml:space="preserve">政府采购节能产品、环境标志产品要求：根据《关于贯彻执行绿色采购、促进残疾人就业和支持监狱企业发</w:t>
      </w:r>
      <w:r>
        <w:rPr>
          <w:rFonts w:hint="eastAsia" w:ascii="仿宋" w:hAnsi="仿宋" w:eastAsia="仿宋" w:cs="仿宋"/>
          <w:bCs/>
          <w:color w:val="auto"/>
          <w:sz w:val="24"/>
          <w:highlight w:val="none"/>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pStyle w:val="1103"/>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落实商品包装、快递包装要求：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1103"/>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w:t>
      </w:r>
      <w:r>
        <w:rPr>
          <w:rFonts w:hint="eastAsia" w:ascii="仿宋" w:hAnsi="仿宋" w:eastAsia="仿宋"/>
          <w:bCs/>
          <w:color w:val="auto"/>
          <w:sz w:val="24"/>
          <w:highlight w:val="none"/>
        </w:rPr>
        <w:t xml:space="preserve">本项目不接受联合体投标。</w:t>
      </w:r>
      <w:r/>
    </w:p>
    <w:p>
      <w:pPr>
        <w:pStyle w:val="1100"/>
        <w:ind w:firstLine="472"/>
        <w:spacing w:before="0" w:after="0" w:line="300" w:lineRule="auto"/>
        <w:rPr>
          <w:rFonts w:ascii="仿宋" w:hAnsi="仿宋" w:eastAsia="仿宋" w:cs="仿宋"/>
          <w:bCs w:val="0"/>
          <w:color w:val="auto"/>
          <w:sz w:val="24"/>
          <w:szCs w:val="24"/>
          <w:highlight w:val="none"/>
          <w:lang w:val="zh-CN"/>
        </w:rPr>
      </w:pPr>
      <w:r>
        <w:rPr>
          <w:rFonts w:hint="eastAsia" w:ascii="仿宋" w:hAnsi="仿宋" w:eastAsia="仿宋" w:cs="仿宋"/>
          <w:bCs w:val="0"/>
          <w:color w:val="auto"/>
          <w:sz w:val="24"/>
          <w:szCs w:val="24"/>
          <w:highlight w:val="none"/>
        </w:rPr>
        <w:t xml:space="preserve">三、</w:t>
      </w:r>
      <w:r>
        <w:rPr>
          <w:rFonts w:hint="eastAsia" w:ascii="仿宋" w:hAnsi="仿宋" w:eastAsia="仿宋" w:cs="仿宋"/>
          <w:bCs w:val="0"/>
          <w:color w:val="auto"/>
          <w:sz w:val="24"/>
          <w:szCs w:val="24"/>
          <w:highlight w:val="none"/>
          <w:lang w:val="zh-CN"/>
        </w:rPr>
        <w:t xml:space="preserve">获取磋商文件</w:t>
      </w:r>
      <w:bookmarkEnd w:id="14"/>
      <w:r/>
      <w:bookmarkEnd w:id="15"/>
      <w:r/>
      <w:bookmarkEnd w:id="16"/>
      <w:r/>
      <w:bookmarkEnd w:id="17"/>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w:t>
      </w:r>
      <w:bookmarkStart w:id="18" w:name="_Toc28359082"/>
      <w:r/>
      <w:bookmarkStart w:id="19" w:name="_Toc28359005"/>
      <w:r/>
      <w:bookmarkStart w:id="20" w:name="_Toc35393793"/>
      <w:r/>
      <w:bookmarkStart w:id="21" w:name="_Toc35393624"/>
      <w:r>
        <w:rPr>
          <w:rFonts w:hint="eastAsia" w:ascii="仿宋" w:hAnsi="仿宋" w:eastAsia="仿宋"/>
          <w:color w:val="auto"/>
          <w:sz w:val="24"/>
          <w:highlight w:val="none"/>
          <w:lang w:val="zh-CN"/>
        </w:rPr>
        <w:t xml:space="preserve">时间：</w:t>
      </w:r>
      <w:r>
        <w:rPr>
          <w:rFonts w:hint="eastAsia"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hint="eastAsia"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5</w:t>
      </w:r>
      <w:r>
        <w:rPr>
          <w:rFonts w:hint="eastAsia"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27</w:t>
      </w:r>
      <w:r>
        <w:rPr>
          <w:rFonts w:hint="eastAsia" w:ascii="仿宋" w:hAnsi="仿宋" w:eastAsia="仿宋"/>
          <w:color w:val="auto"/>
          <w:sz w:val="24"/>
          <w:highlight w:val="none"/>
          <w:lang w:val="zh-CN"/>
        </w:rPr>
        <w:t xml:space="preserve">日至</w:t>
      </w:r>
      <w:r>
        <w:rPr>
          <w:rFonts w:hint="eastAsia"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hint="eastAsia"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6</w:t>
      </w:r>
      <w:r>
        <w:rPr>
          <w:rFonts w:hint="eastAsia"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2</w:t>
      </w:r>
      <w:r>
        <w:rPr>
          <w:rFonts w:hint="eastAsia" w:ascii="仿宋" w:hAnsi="仿宋" w:eastAsia="仿宋"/>
          <w:color w:val="auto"/>
          <w:sz w:val="24"/>
          <w:highlight w:val="none"/>
          <w:u w:val="single"/>
          <w:lang w:val="zh-CN"/>
        </w:rPr>
        <w:t xml:space="preserve">日</w:t>
      </w:r>
      <w:r>
        <w:rPr>
          <w:rFonts w:hint="eastAsia" w:ascii="仿宋" w:hAnsi="仿宋" w:eastAsia="仿宋"/>
          <w:color w:val="auto"/>
          <w:sz w:val="24"/>
          <w:highlight w:val="none"/>
          <w:lang w:val="zh-CN"/>
        </w:rPr>
        <w:t xml:space="preserve">。</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2、地点：供应商完成注册并办理CA证书登录“苏采云系统”，免费下载本项目磋商文件。</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方式：本项目采用网上注册登记方式。</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4、潜在供应商访问政府采购云平台“苏采云”系统的网络地址和方式：</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（2）潜在投标人访问“苏采云”系统的网络地址和方法：“苏采云”系统的网址：http://jszfcg.jsczt.cn/，点击“苏采云”进入系统。</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“CA数字证书”的办理及变更等详见“靖江市政府采购不见面交易相关提醒”。</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（5）招标代理机构（采购代理机构）将数据电文形式的招标文件加载至“苏采云”系统，供潜在投标人下载或者查阅。</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（6）苏采云系统优先使用谷歌浏览器参与不见面开标。</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（7）有关本次采购的事项若存在变动或修改，敬请及时关注“江苏政府采购网”发布的更正公告。</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如潜在供应商未按上述要求操作，将自行承担所产生的风险。</w:t>
      </w:r>
      <w:r/>
    </w:p>
    <w:p>
      <w:pPr>
        <w:pStyle w:val="1100"/>
        <w:ind w:firstLine="472"/>
        <w:spacing w:before="0" w:after="0" w:line="300" w:lineRule="auto"/>
        <w:rPr>
          <w:rFonts w:ascii="仿宋" w:hAnsi="仿宋" w:eastAsia="仿宋" w:cs="仿宋"/>
          <w:bCs w:val="0"/>
          <w:color w:val="auto"/>
          <w:sz w:val="24"/>
          <w:szCs w:val="24"/>
          <w:highlight w:val="none"/>
          <w:lang w:val="zh-CN"/>
        </w:rPr>
      </w:pPr>
      <w:r>
        <w:rPr>
          <w:rFonts w:hint="eastAsia" w:ascii="仿宋" w:hAnsi="仿宋" w:eastAsia="仿宋" w:cs="仿宋"/>
          <w:bCs w:val="0"/>
          <w:color w:val="auto"/>
          <w:sz w:val="24"/>
          <w:szCs w:val="24"/>
          <w:highlight w:val="none"/>
          <w:lang w:val="zh-CN"/>
        </w:rPr>
        <w:t xml:space="preserve">四、提交响应文件</w:t>
      </w:r>
      <w:bookmarkEnd w:id="18"/>
      <w:r/>
      <w:bookmarkEnd w:id="19"/>
      <w:r>
        <w:rPr>
          <w:rFonts w:hint="eastAsia" w:ascii="仿宋" w:hAnsi="仿宋" w:eastAsia="仿宋" w:cs="仿宋"/>
          <w:bCs w:val="0"/>
          <w:color w:val="auto"/>
          <w:sz w:val="24"/>
          <w:szCs w:val="24"/>
          <w:highlight w:val="none"/>
          <w:lang w:val="zh-CN"/>
        </w:rPr>
        <w:t xml:space="preserve">截止时间、开标时间和地点</w:t>
      </w:r>
      <w:bookmarkEnd w:id="20"/>
      <w:r/>
      <w:bookmarkEnd w:id="21"/>
      <w:r/>
      <w:r/>
    </w:p>
    <w:p>
      <w:pPr>
        <w:ind w:firstLine="480"/>
        <w:spacing w:line="300" w:lineRule="auto"/>
        <w:rPr>
          <w:rFonts w:ascii="仿宋" w:hAnsi="仿宋" w:eastAsia="仿宋" w:cs="仿宋"/>
          <w:color w:val="auto"/>
          <w:sz w:val="24"/>
          <w:highlight w:val="none"/>
          <w:lang w:val="zh-CN"/>
        </w:rPr>
      </w:pPr>
      <w:r/>
      <w:bookmarkStart w:id="22" w:name="_Toc28359084"/>
      <w:r/>
      <w:bookmarkStart w:id="23" w:name="_Toc28359007"/>
      <w:r/>
      <w:bookmarkStart w:id="24" w:name="_Toc35393794"/>
      <w:r/>
      <w:bookmarkStart w:id="25" w:name="_Toc35393625"/>
      <w:r>
        <w:rPr>
          <w:rFonts w:hint="eastAsia" w:ascii="仿宋" w:hAnsi="仿宋" w:eastAsia="仿宋" w:cs="仿宋"/>
          <w:color w:val="auto"/>
          <w:sz w:val="24"/>
          <w:highlight w:val="none"/>
        </w:rPr>
        <w:t xml:space="preserve">1、</w:t>
      </w:r>
      <w:r>
        <w:rPr>
          <w:rFonts w:hint="eastAsia" w:ascii="仿宋" w:hAnsi="仿宋" w:eastAsia="仿宋"/>
          <w:color w:val="auto"/>
          <w:sz w:val="24"/>
          <w:highlight w:val="none"/>
        </w:rPr>
        <w:t xml:space="preserve">投标</w:t>
      </w:r>
      <w:r>
        <w:rPr>
          <w:rFonts w:hint="eastAsia" w:ascii="仿宋" w:hAnsi="仿宋" w:eastAsia="仿宋"/>
          <w:color w:val="auto"/>
          <w:sz w:val="24"/>
          <w:highlight w:val="none"/>
          <w:lang w:val="zh-CN"/>
        </w:rPr>
        <w:t xml:space="preserve">文件递交截止时间: 202</w:t>
      </w: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zh-CN"/>
        </w:rPr>
        <w:t xml:space="preserve">年</w:t>
      </w: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zh-CN"/>
        </w:rPr>
        <w:t xml:space="preserve">月</w:t>
      </w:r>
      <w:r>
        <w:rPr>
          <w:rFonts w:hint="eastAsia" w:ascii="仿宋" w:hAnsi="仿宋" w:eastAsia="仿宋"/>
          <w:color w:val="auto"/>
          <w:sz w:val="24"/>
          <w:highlight w:val="none"/>
          <w:lang w:val="en-US" w:eastAsia="zh-CN"/>
        </w:rPr>
        <w:t xml:space="preserve">8</w:t>
      </w:r>
      <w:r>
        <w:rPr>
          <w:rFonts w:hint="eastAsia" w:ascii="仿宋" w:hAnsi="仿宋" w:eastAsia="仿宋"/>
          <w:color w:val="auto"/>
          <w:sz w:val="24"/>
          <w:highlight w:val="none"/>
          <w:lang w:val="zh-CN"/>
        </w:rPr>
        <w:t xml:space="preserve">日9:</w:t>
      </w:r>
      <w:r>
        <w:rPr>
          <w:rFonts w:hint="eastAsia" w:ascii="仿宋" w:hAnsi="仿宋" w:eastAsia="仿宋"/>
          <w:color w:val="auto"/>
          <w:sz w:val="24"/>
          <w:highlight w:val="none"/>
        </w:rPr>
        <w:t xml:space="preserve">00</w:t>
      </w:r>
      <w:r>
        <w:rPr>
          <w:rFonts w:hint="eastAsia" w:ascii="仿宋" w:hAnsi="仿宋" w:eastAsia="仿宋"/>
          <w:color w:val="auto"/>
          <w:sz w:val="24"/>
          <w:highlight w:val="none"/>
          <w:lang w:val="zh-CN"/>
        </w:rPr>
        <w:t xml:space="preserve">(北京时间)</w:t>
      </w:r>
      <w:r>
        <w:rPr>
          <w:rFonts w:hint="eastAsia" w:ascii="仿宋" w:hAnsi="仿宋" w:eastAsia="仿宋" w:cs="仿宋"/>
          <w:color w:val="auto"/>
          <w:sz w:val="24"/>
          <w:highlight w:val="none"/>
          <w:lang w:val="zh-CN"/>
        </w:rPr>
        <w:t xml:space="preserve">；</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2、开标</w:t>
      </w:r>
      <w:r>
        <w:rPr>
          <w:rFonts w:hint="eastAsia" w:ascii="仿宋" w:hAnsi="仿宋" w:eastAsia="仿宋"/>
          <w:color w:val="auto"/>
          <w:sz w:val="24"/>
          <w:highlight w:val="none"/>
          <w:lang w:val="zh-CN"/>
        </w:rPr>
        <w:t xml:space="preserve">地点:“苏采云”系统(网址: http://jszfcg.jsczt.cn/)“开标大厅”，点击“苏采云”进入系统“开标大厅”；</w:t>
      </w:r>
      <w:bookmarkEnd w:id="22"/>
      <w:r/>
      <w:bookmarkEnd w:id="23"/>
      <w:r/>
      <w:bookmarkEnd w:id="24"/>
      <w:r/>
      <w:bookmarkEnd w:id="25"/>
      <w:r/>
      <w:r/>
    </w:p>
    <w:p>
      <w:pPr>
        <w:ind w:firstLine="480"/>
        <w:spacing w:line="300" w:lineRule="auto"/>
        <w:rPr>
          <w:rFonts w:ascii="仿宋" w:hAnsi="仿宋" w:eastAsia="仿宋" w:cs="仿宋"/>
          <w:color w:val="auto"/>
          <w:sz w:val="24"/>
          <w:highlight w:val="none"/>
          <w:lang w:val="zh-CN"/>
        </w:rPr>
      </w:pPr>
      <w:r>
        <w:rPr>
          <w:rFonts w:ascii="仿宋" w:hAnsi="仿宋" w:eastAsia="仿宋"/>
          <w:color w:val="auto"/>
          <w:sz w:val="24"/>
          <w:highlight w:val="none"/>
          <w:lang w:val="zh-CN"/>
        </w:rPr>
        <w:t xml:space="preserve">3、逾期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或者未</w:t>
      </w:r>
      <w:r>
        <w:rPr>
          <w:rFonts w:hint="eastAsia" w:ascii="仿宋" w:hAnsi="仿宋" w:eastAsia="仿宋"/>
          <w:color w:val="auto"/>
          <w:sz w:val="24"/>
          <w:highlight w:val="none"/>
        </w:rPr>
        <w:t xml:space="preserve">按要求上传</w:t>
      </w:r>
      <w:r>
        <w:rPr>
          <w:rFonts w:ascii="仿宋" w:hAnsi="仿宋" w:eastAsia="仿宋"/>
          <w:color w:val="auto"/>
          <w:sz w:val="24"/>
          <w:highlight w:val="none"/>
          <w:lang w:val="zh-CN"/>
        </w:rPr>
        <w:t xml:space="preserve">的投标文件，采购人不予受理。</w:t>
      </w:r>
      <w:r/>
    </w:p>
    <w:p>
      <w:pPr>
        <w:pStyle w:val="1103"/>
        <w:ind w:firstLine="482"/>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五</w:t>
      </w:r>
      <w:r>
        <w:rPr>
          <w:rFonts w:ascii="仿宋" w:hAnsi="仿宋" w:eastAsia="仿宋"/>
          <w:b/>
          <w:bCs/>
          <w:color w:val="auto"/>
          <w:sz w:val="24"/>
          <w:highlight w:val="none"/>
          <w:lang w:val="zh-CN"/>
        </w:rPr>
        <w:t xml:space="preserve">、公告期限</w:t>
      </w:r>
      <w:r/>
    </w:p>
    <w:p>
      <w:pPr>
        <w:pStyle w:val="1103"/>
        <w:ind w:firstLine="480"/>
        <w:spacing w:line="300" w:lineRule="auto"/>
        <w:rPr>
          <w:rFonts w:ascii="仿宋" w:hAnsi="仿宋" w:eastAsia="仿宋"/>
          <w:color w:val="auto"/>
          <w:sz w:val="24"/>
          <w:highlight w:val="none"/>
          <w:lang w:val="zh-CN"/>
        </w:rPr>
      </w:pPr>
      <w:r/>
      <w:bookmarkStart w:id="26" w:name="_Toc35393626"/>
      <w:r/>
      <w:bookmarkStart w:id="27" w:name="_Toc35393795"/>
      <w:r>
        <w:rPr>
          <w:rFonts w:ascii="仿宋" w:hAnsi="仿宋" w:eastAsia="仿宋"/>
          <w:color w:val="auto"/>
          <w:sz w:val="24"/>
          <w:highlight w:val="none"/>
          <w:lang w:val="zh-CN"/>
        </w:rPr>
        <w:t xml:space="preserve">自本公告发布之日起5个工作日。</w:t>
      </w:r>
      <w:r/>
    </w:p>
    <w:p>
      <w:pPr>
        <w:pStyle w:val="1107"/>
        <w:ind w:firstLine="482"/>
        <w:spacing w:before="0" w:after="0" w:line="300" w:lineRule="auto"/>
        <w:rPr>
          <w:rFonts w:ascii="仿宋" w:hAnsi="仿宋" w:eastAsia="仿宋"/>
          <w:bCs w:val="0"/>
          <w:color w:val="auto"/>
          <w:sz w:val="24"/>
          <w:szCs w:val="24"/>
          <w:highlight w:val="none"/>
          <w:lang w:val="zh-CN"/>
        </w:rPr>
      </w:pPr>
      <w:r>
        <w:rPr>
          <w:rFonts w:hint="eastAsia" w:ascii="仿宋" w:hAnsi="仿宋" w:eastAsia="仿宋"/>
          <w:bCs w:val="0"/>
          <w:color w:val="auto"/>
          <w:sz w:val="24"/>
          <w:szCs w:val="24"/>
          <w:highlight w:val="none"/>
        </w:rPr>
        <w:t xml:space="preserve">六、</w:t>
      </w:r>
      <w:r>
        <w:rPr>
          <w:rFonts w:ascii="仿宋" w:hAnsi="仿宋" w:eastAsia="仿宋"/>
          <w:bCs w:val="0"/>
          <w:color w:val="auto"/>
          <w:sz w:val="24"/>
          <w:szCs w:val="24"/>
          <w:highlight w:val="none"/>
          <w:lang w:val="zh-CN"/>
        </w:rPr>
        <w:t xml:space="preserve">其他补充事宜</w:t>
      </w:r>
      <w:bookmarkEnd w:id="26"/>
      <w:r/>
      <w:bookmarkEnd w:id="27"/>
      <w:r/>
      <w:r/>
    </w:p>
    <w:p>
      <w:pPr>
        <w:pStyle w:val="1103"/>
        <w:ind w:firstLine="480"/>
        <w:spacing w:line="300" w:lineRule="auto"/>
        <w:rPr>
          <w:color w:val="auto"/>
          <w:highlight w:val="none"/>
        </w:rPr>
      </w:pPr>
      <w:r>
        <w:rPr>
          <w:rFonts w:hint="eastAsia" w:ascii="仿宋" w:hAnsi="仿宋" w:eastAsia="仿宋"/>
          <w:color w:val="auto"/>
          <w:sz w:val="24"/>
          <w:highlight w:val="none"/>
        </w:rPr>
        <w:t xml:space="preserve">1、开标时供应商须在规定时间内进行响应文件解密，报价确认；</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2、评审中供应商应随时关注电脑，需依据电脑提示进行磋商并及时进行二次或最终报价；</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3、如有任何疑问，请拨打电子化政府采购技术支持电话：0523-86897512。</w:t>
      </w:r>
      <w:r/>
    </w:p>
    <w:p>
      <w:pPr>
        <w:ind w:firstLine="482"/>
        <w:rPr>
          <w:rFonts w:ascii="仿宋" w:hAnsi="仿宋" w:eastAsia="仿宋" w:cs="仿宋"/>
          <w:b/>
          <w:color w:val="auto"/>
          <w:sz w:val="24"/>
          <w:highlight w:val="none"/>
          <w:lang w:val="zh-CN"/>
        </w:rPr>
      </w:pPr>
      <w:r/>
      <w:bookmarkStart w:id="28" w:name="_Toc35393796"/>
      <w:r/>
      <w:bookmarkStart w:id="29" w:name="_Toc28359085"/>
      <w:r/>
      <w:bookmarkStart w:id="30" w:name="_Toc28359008"/>
      <w:r/>
      <w:bookmarkStart w:id="31" w:name="_Toc35393627"/>
      <w:r>
        <w:rPr>
          <w:rFonts w:hint="eastAsia" w:ascii="仿宋" w:hAnsi="仿宋" w:eastAsia="仿宋" w:cs="仿宋"/>
          <w:b/>
          <w:color w:val="auto"/>
          <w:sz w:val="24"/>
          <w:highlight w:val="none"/>
        </w:rPr>
        <w:t xml:space="preserve">七</w:t>
      </w:r>
      <w:r>
        <w:rPr>
          <w:rFonts w:hint="eastAsia" w:ascii="仿宋" w:hAnsi="仿宋" w:eastAsia="仿宋" w:cs="仿宋"/>
          <w:b/>
          <w:color w:val="auto"/>
          <w:sz w:val="24"/>
          <w:highlight w:val="none"/>
          <w:lang w:val="zh-CN"/>
        </w:rPr>
        <w:t xml:space="preserve">、对本次磋商提出询问，请按以下方式联系</w:t>
      </w:r>
      <w:bookmarkEnd w:id="28"/>
      <w:r/>
      <w:bookmarkEnd w:id="29"/>
      <w:r/>
      <w:bookmarkEnd w:id="30"/>
      <w:r/>
      <w:bookmarkEnd w:id="31"/>
      <w:r/>
      <w:bookmarkEnd w:id="4"/>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1.采购人信息</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名     称：</w:t>
      </w:r>
      <w:bookmarkStart w:id="32" w:name="OLE_LINK21"/>
      <w:r/>
      <w:bookmarkStart w:id="33" w:name="OLE_LINK20"/>
      <w:r>
        <w:rPr>
          <w:rFonts w:hint="eastAsia" w:ascii="仿宋" w:hAnsi="仿宋" w:eastAsia="仿宋"/>
          <w:color w:val="auto"/>
          <w:sz w:val="24"/>
          <w:highlight w:val="none"/>
          <w:lang w:val="zh-CN"/>
        </w:rPr>
        <w:t xml:space="preserve">泰州市靖江生态环境局</w:t>
      </w:r>
      <w:bookmarkEnd w:id="32"/>
      <w:r/>
      <w:bookmarkEnd w:id="33"/>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地     址：</w:t>
      </w:r>
      <w:r>
        <w:rPr>
          <w:rFonts w:hint="eastAsia" w:ascii="仿宋" w:hAnsi="仿宋" w:eastAsia="仿宋" w:cs="仿宋"/>
          <w:color w:val="auto"/>
          <w:sz w:val="24"/>
          <w:highlight w:val="none"/>
          <w:lang w:val="zh-CN"/>
        </w:rPr>
        <w:t xml:space="preserve">靖江市阳光大道1号行政服务中心商务B楼6楼</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联  系 人：印</w:t>
      </w:r>
      <w:r>
        <w:rPr>
          <w:rFonts w:hint="eastAsia" w:ascii="仿宋" w:hAnsi="仿宋" w:eastAsia="仿宋"/>
          <w:color w:val="auto"/>
          <w:sz w:val="24"/>
          <w:highlight w:val="none"/>
        </w:rPr>
        <w:t xml:space="preserve">先生</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联系 方式：</w:t>
      </w:r>
      <w:r>
        <w:rPr>
          <w:rFonts w:hint="eastAsia" w:ascii="仿宋" w:hAnsi="仿宋" w:eastAsia="仿宋"/>
          <w:color w:val="auto"/>
          <w:sz w:val="24"/>
          <w:highlight w:val="none"/>
        </w:rPr>
        <w:t xml:space="preserve">0523-</w:t>
      </w:r>
      <w:r>
        <w:rPr>
          <w:rFonts w:ascii="Segoe UI" w:hAnsi="Segoe UI" w:eastAsia="Segoe UI" w:cs="Segoe UI"/>
          <w:i w:val="0"/>
          <w:iCs w:val="0"/>
          <w:caps w:val="0"/>
          <w:color w:val="auto"/>
          <w:spacing w:val="0"/>
          <w:sz w:val="21"/>
          <w:szCs w:val="21"/>
          <w:highlight w:val="none"/>
          <w:shd w:val="clear" w:color="auto" w:fill="ffffff"/>
        </w:rPr>
        <w:t xml:space="preserve">89183621</w:t>
      </w:r>
      <w:r/>
    </w:p>
    <w:p>
      <w:pPr>
        <w:pStyle w:val="1103"/>
        <w:ind w:firstLine="480"/>
        <w:spacing w:line="300" w:lineRule="auto"/>
        <w:rPr>
          <w:rFonts w:ascii="仿宋" w:hAnsi="仿宋" w:eastAsia="仿宋"/>
          <w:color w:val="auto"/>
          <w:sz w:val="24"/>
          <w:highlight w:val="none"/>
          <w:lang w:val="zh-CN"/>
        </w:rPr>
      </w:pPr>
      <w:r/>
      <w:bookmarkStart w:id="34" w:name="_Toc28359086"/>
      <w:r/>
      <w:bookmarkStart w:id="35" w:name="_Toc28359009"/>
      <w:r>
        <w:rPr>
          <w:rFonts w:hint="eastAsia" w:ascii="仿宋" w:hAnsi="仿宋" w:eastAsia="仿宋"/>
          <w:color w:val="auto"/>
          <w:sz w:val="24"/>
          <w:highlight w:val="none"/>
          <w:lang w:val="zh-CN"/>
        </w:rPr>
        <w:t xml:space="preserve">2.采购代理机构信息</w:t>
      </w:r>
      <w:bookmarkEnd w:id="34"/>
      <w:r/>
      <w:bookmarkEnd w:id="35"/>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名    称：江苏金宸招标代理有限公司</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地　  址：</w:t>
      </w:r>
      <w:r>
        <w:rPr>
          <w:rFonts w:hint="eastAsia" w:ascii="仿宋" w:hAnsi="仿宋" w:eastAsia="仿宋"/>
          <w:color w:val="auto"/>
          <w:sz w:val="24"/>
          <w:highlight w:val="none"/>
        </w:rPr>
        <w:t xml:space="preserve">靖江市晨阳路（高德/百度地图导航公司名称）</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联系方式：0523-84828482</w:t>
      </w:r>
      <w:r/>
    </w:p>
    <w:p>
      <w:pPr>
        <w:rPr>
          <w:color w:val="auto"/>
          <w:highlight w:val="none"/>
        </w:rPr>
      </w:pPr>
      <w:r/>
      <w:bookmarkStart w:id="36" w:name="_Toc302967369"/>
      <w:r/>
      <w:r/>
    </w:p>
    <w:p>
      <w:pPr>
        <w:rPr>
          <w:color w:val="auto"/>
          <w:highlight w:val="none"/>
        </w:rPr>
      </w:pPr>
      <w:r>
        <w:rPr>
          <w:color w:val="auto"/>
          <w:highlight w:val="none"/>
        </w:rPr>
      </w:r>
      <w:r/>
    </w:p>
    <w:p>
      <w:pPr>
        <w:pStyle w:val="952"/>
        <w:rPr>
          <w:color w:val="auto"/>
          <w:highlight w:val="none"/>
          <w:lang w:eastAsia="zh-CN"/>
        </w:rPr>
      </w:pPr>
      <w:r>
        <w:rPr>
          <w:color w:val="auto"/>
          <w:highlight w:val="none"/>
          <w:lang w:eastAsia="zh-CN"/>
        </w:rPr>
      </w:r>
      <w:r/>
    </w:p>
    <w:p>
      <w:pPr>
        <w:pStyle w:val="952"/>
        <w:rPr>
          <w:color w:val="auto"/>
          <w:highlight w:val="none"/>
          <w:lang w:eastAsia="zh-CN"/>
        </w:rPr>
      </w:pPr>
      <w:r>
        <w:rPr>
          <w:color w:val="auto"/>
          <w:highlight w:val="none"/>
          <w:lang w:eastAsia="zh-CN"/>
        </w:rPr>
      </w:r>
      <w:r/>
    </w:p>
    <w:p>
      <w:pPr>
        <w:pStyle w:val="952"/>
        <w:rPr>
          <w:color w:val="auto"/>
          <w:highlight w:val="none"/>
          <w:lang w:eastAsia="zh-CN"/>
        </w:rPr>
      </w:pPr>
      <w:r>
        <w:rPr>
          <w:color w:val="auto"/>
          <w:highlight w:val="none"/>
          <w:lang w:eastAsia="zh-CN"/>
        </w:rPr>
      </w:r>
      <w:r/>
    </w:p>
    <w:p>
      <w:pPr>
        <w:pStyle w:val="952"/>
        <w:rPr>
          <w:color w:val="auto"/>
          <w:highlight w:val="none"/>
          <w:lang w:eastAsia="zh-CN"/>
        </w:rPr>
      </w:pPr>
      <w:r>
        <w:rPr>
          <w:color w:val="auto"/>
          <w:highlight w:val="none"/>
          <w:lang w:eastAsia="zh-CN"/>
        </w:rPr>
      </w:r>
      <w:r/>
    </w:p>
    <w:p>
      <w:pPr>
        <w:pStyle w:val="952"/>
        <w:rPr>
          <w:color w:val="auto"/>
          <w:highlight w:val="none"/>
          <w:lang w:eastAsia="zh-CN"/>
        </w:rPr>
      </w:pPr>
      <w:r>
        <w:rPr>
          <w:color w:val="auto"/>
          <w:highlight w:val="none"/>
          <w:lang w:eastAsia="zh-CN"/>
        </w:rPr>
      </w:r>
      <w:r/>
    </w:p>
    <w:p>
      <w:pPr>
        <w:pStyle w:val="952"/>
        <w:rPr>
          <w:color w:val="auto"/>
          <w:highlight w:val="none"/>
          <w:lang w:eastAsia="zh-CN"/>
        </w:rPr>
      </w:pPr>
      <w:r>
        <w:rPr>
          <w:color w:val="auto"/>
          <w:highlight w:val="none"/>
          <w:lang w:eastAsia="zh-CN"/>
        </w:rPr>
      </w:r>
      <w:r/>
    </w:p>
    <w:p>
      <w:pPr>
        <w:pStyle w:val="952"/>
        <w:rPr>
          <w:color w:val="auto"/>
          <w:highlight w:val="none"/>
          <w:lang w:eastAsia="zh-CN"/>
        </w:rPr>
      </w:pPr>
      <w:r>
        <w:rPr>
          <w:color w:val="auto"/>
          <w:highlight w:val="none"/>
          <w:lang w:eastAsia="zh-CN"/>
        </w:rPr>
      </w:r>
      <w:r/>
    </w:p>
    <w:p>
      <w:pPr>
        <w:pStyle w:val="952"/>
        <w:rPr>
          <w:color w:val="auto"/>
          <w:highlight w:val="none"/>
          <w:lang w:eastAsia="zh-CN"/>
        </w:rPr>
      </w:pPr>
      <w:r>
        <w:rPr>
          <w:color w:val="auto"/>
          <w:highlight w:val="none"/>
          <w:lang w:eastAsia="zh-CN"/>
        </w:rPr>
      </w:r>
      <w:r/>
    </w:p>
    <w:p>
      <w:pPr>
        <w:pStyle w:val="952"/>
        <w:rPr>
          <w:color w:val="auto"/>
          <w:highlight w:val="none"/>
          <w:lang w:eastAsia="zh-CN"/>
        </w:rPr>
      </w:pPr>
      <w:r>
        <w:rPr>
          <w:color w:val="auto"/>
          <w:highlight w:val="none"/>
          <w:lang w:eastAsia="zh-CN"/>
        </w:rPr>
      </w:r>
      <w:r/>
    </w:p>
    <w:p>
      <w:pPr>
        <w:ind w:firstLine="602"/>
        <w:jc w:val="center"/>
        <w:spacing w:line="360" w:lineRule="auto"/>
        <w:rPr>
          <w:rFonts w:ascii="仿宋" w:hAnsi="仿宋" w:eastAsia="仿宋" w:cs="仿宋"/>
          <w:b/>
          <w:bCs/>
          <w:color w:val="auto"/>
          <w:sz w:val="30"/>
          <w:szCs w:val="20"/>
          <w:highlight w:val="none"/>
        </w:rPr>
      </w:pPr>
      <w:r>
        <w:rPr>
          <w:rFonts w:hint="eastAsia" w:ascii="仿宋" w:hAnsi="仿宋" w:eastAsia="仿宋" w:cs="仿宋"/>
          <w:b/>
          <w:bCs/>
          <w:color w:val="auto"/>
          <w:sz w:val="30"/>
          <w:szCs w:val="20"/>
          <w:highlight w:val="none"/>
        </w:rPr>
        <w:t xml:space="preserve">第一章  供应商须知</w:t>
      </w:r>
      <w:bookmarkEnd w:id="36"/>
      <w:r/>
      <w:r/>
    </w:p>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供应商应仔细阅读本磋商文件的所有内容（包括答疑、补充、澄清以及修改等），按照磋商文件要求以及格式编制响应文件，并保证其真实性，否则其一切后果自负。</w:t>
      </w:r>
      <w:r/>
    </w:p>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本次政府采购方式为竞争性磋商是指采购人、代理机构通过组建竞争性磋商小组与符合条件的供应商就采购货物、工程和服务事宜进行磋商。通过竞争性磋商的供应商按照磋商文件的要求提交响应文件，采购人从磋商小组评审后提出的候选供应商名单中确定成交供应商的采购方式。</w:t>
      </w:r>
      <w:r/>
    </w:p>
    <w:p>
      <w:pPr>
        <w:ind w:firstLine="562"/>
        <w:spacing w:line="360" w:lineRule="auto"/>
        <w:rPr>
          <w:rFonts w:ascii="仿宋" w:hAnsi="仿宋" w:eastAsia="仿宋" w:cs="仿宋"/>
          <w:b/>
          <w:bCs/>
          <w:color w:val="auto"/>
          <w:sz w:val="28"/>
          <w:szCs w:val="28"/>
          <w:highlight w:val="none"/>
          <w:lang w:val="en-GB"/>
        </w:rPr>
      </w:pPr>
      <w:r>
        <w:rPr>
          <w:rFonts w:hint="eastAsia" w:ascii="仿宋" w:hAnsi="仿宋" w:eastAsia="仿宋" w:cs="仿宋"/>
          <w:b/>
          <w:bCs/>
          <w:color w:val="auto"/>
          <w:sz w:val="28"/>
          <w:szCs w:val="28"/>
          <w:highlight w:val="none"/>
          <w:lang w:val="en-GB"/>
        </w:rPr>
        <w:t xml:space="preserve">1.供应商须知前附表</w:t>
      </w:r>
      <w:r/>
    </w:p>
    <w:tbl>
      <w:tblPr>
        <w:tblStyle w:val="896"/>
        <w:tblW w:w="92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803"/>
        <w:gridCol w:w="6641"/>
      </w:tblGrid>
      <w:tr>
        <w:trPr>
          <w:jc w:val="center"/>
        </w:trPr>
        <w:tc>
          <w:tcPr>
            <w:tcW w:w="825" w:type="dxa"/>
            <w:vAlign w:val="center"/>
            <w:textDirection w:val="lrTb"/>
            <w:noWrap/>
          </w:tcPr>
          <w:p>
            <w:pPr>
              <w:jc w:val="center"/>
              <w:tabs>
                <w:tab w:val="left" w:pos="7665" w:leader="none"/>
              </w:tabs>
              <w:rPr>
                <w:rFonts w:ascii="仿宋" w:hAnsi="仿宋" w:eastAsia="仿宋" w:cs="仿宋"/>
                <w:b/>
                <w:color w:val="auto"/>
                <w:sz w:val="24"/>
                <w:highlight w:val="none"/>
                <w:lang w:val="zh-CN"/>
              </w:rPr>
            </w:pPr>
            <w:r/>
            <w:bookmarkStart w:id="37" w:name="_Toc302967372"/>
            <w:r>
              <w:rPr>
                <w:rFonts w:hint="eastAsia" w:ascii="仿宋" w:hAnsi="仿宋" w:eastAsia="仿宋" w:cs="仿宋"/>
                <w:b/>
                <w:color w:val="auto"/>
                <w:sz w:val="24"/>
                <w:highlight w:val="none"/>
                <w:lang w:val="zh-CN"/>
              </w:rPr>
              <w:t xml:space="preserve">序号</w:t>
            </w:r>
            <w:r/>
          </w:p>
        </w:tc>
        <w:tc>
          <w:tcPr>
            <w:tcW w:w="1803" w:type="dxa"/>
            <w:vAlign w:val="center"/>
            <w:textDirection w:val="lrTb"/>
            <w:noWrap/>
          </w:tcPr>
          <w:p>
            <w:pPr>
              <w:jc w:val="center"/>
              <w:tabs>
                <w:tab w:val="left" w:pos="7665" w:leader="none"/>
              </w:tabs>
              <w:rPr>
                <w:rFonts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条款名称</w:t>
            </w:r>
            <w:r/>
          </w:p>
        </w:tc>
        <w:tc>
          <w:tcPr>
            <w:tcW w:w="6641" w:type="dxa"/>
            <w:vAlign w:val="center"/>
            <w:textDirection w:val="lrTb"/>
            <w:noWrap/>
          </w:tcPr>
          <w:p>
            <w:pPr>
              <w:jc w:val="center"/>
              <w:tabs>
                <w:tab w:val="left" w:pos="7665" w:leader="none"/>
              </w:tabs>
              <w:rPr>
                <w:rFonts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内容与要求</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适用范围</w:t>
            </w:r>
            <w:r/>
          </w:p>
        </w:tc>
        <w:tc>
          <w:tcPr>
            <w:tcW w:w="6641" w:type="dxa"/>
            <w:vAlign w:val="bottom"/>
            <w:textDirection w:val="lrTb"/>
            <w:noWrap/>
          </w:tcPr>
          <w:p>
            <w:pPr>
              <w:rPr>
                <w:rFonts w:hint="eastAsia" w:ascii="仿宋" w:hAnsi="仿宋" w:eastAsia="仿宋" w:cs="仿宋"/>
                <w:color w:val="auto"/>
                <w:sz w:val="24"/>
                <w:highlight w:val="none"/>
                <w:lang w:val="en-GB" w:eastAsia="zh-CN"/>
              </w:rPr>
            </w:pPr>
            <w:r>
              <w:rPr>
                <w:rFonts w:hint="eastAsia" w:ascii="仿宋" w:hAnsi="仿宋" w:eastAsia="仿宋" w:cs="仿宋"/>
                <w:color w:val="auto"/>
                <w:sz w:val="24"/>
                <w:highlight w:val="none"/>
                <w:lang w:val="zh-CN"/>
              </w:rPr>
              <w:t xml:space="preserve">项目编号：</w:t>
            </w:r>
            <w:r>
              <w:rPr>
                <w:rFonts w:ascii="仿宋" w:hAnsi="仿宋" w:eastAsia="仿宋" w:cs="仿宋"/>
                <w:color w:val="auto"/>
                <w:sz w:val="24"/>
                <w:highlight w:val="none"/>
                <w:lang w:val="zh-CN"/>
              </w:rPr>
              <w:t xml:space="preserve">JSZC-321282-JCJJ-C2026-000</w:t>
            </w:r>
            <w:r>
              <w:rPr>
                <w:rFonts w:hint="eastAsia" w:ascii="仿宋" w:hAnsi="仿宋" w:eastAsia="仿宋" w:cs="仿宋"/>
                <w:color w:val="auto"/>
                <w:sz w:val="24"/>
                <w:highlight w:val="none"/>
                <w:lang w:val="en-US" w:eastAsia="zh-CN"/>
              </w:rPr>
              <w:t xml:space="preserve">5</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zh-CN"/>
              </w:rPr>
              <w:t xml:space="preserve">项目名称：</w:t>
            </w:r>
            <w:bookmarkEnd w:id="37"/>
            <w:r>
              <w:rPr>
                <w:rFonts w:hint="eastAsia" w:ascii="仿宋" w:hAnsi="仿宋" w:eastAsia="仿宋" w:cs="仿宋"/>
                <w:color w:val="auto"/>
                <w:sz w:val="24"/>
                <w:highlight w:val="none"/>
                <w:lang w:val="zh-CN"/>
              </w:rPr>
              <w:t xml:space="preserve">靖江市美丽河湖水生态调查评估项目</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招标方式</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公开招标      </w:t>
            </w: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邀请招标     </w:t>
            </w: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竞争性谈判</w:t>
            </w:r>
            <w:r/>
          </w:p>
          <w:p>
            <w:pPr>
              <w:rPr>
                <w:rFonts w:ascii="仿宋" w:hAnsi="仿宋" w:eastAsia="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询价          </w:t>
            </w: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单一来源     </w:t>
            </w:r>
            <w:r>
              <w:rPr>
                <w:rFonts w:ascii="Wingdings 2" w:hAnsi="Wingdings 2" w:eastAsia="Wingdings 2" w:cs="Wingdings 2"/>
                <w:color w:val="auto"/>
                <w:sz w:val="24"/>
                <w:highlight w:val="none"/>
                <w:lang w:val="zh-CN"/>
              </w:rPr>
              <w:t xml:space="preserve"></w:t>
            </w:r>
            <w:r>
              <w:rPr>
                <w:rFonts w:hint="eastAsia" w:ascii="仿宋" w:hAnsi="仿宋" w:eastAsia="仿宋" w:cs="仿宋"/>
                <w:color w:val="auto"/>
                <w:sz w:val="24"/>
                <w:highlight w:val="none"/>
                <w:lang w:val="zh-CN"/>
              </w:rPr>
              <w:t xml:space="preserve">竞争性磋商</w:t>
            </w:r>
            <w:r/>
          </w:p>
          <w:p>
            <w:pPr>
              <w:rPr>
                <w:rFonts w:ascii="仿宋" w:hAnsi="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框架协议      </w:t>
            </w: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其他：</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1.3</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采购代理机构</w:t>
            </w:r>
            <w:r/>
          </w:p>
        </w:tc>
        <w:tc>
          <w:tcPr>
            <w:tcW w:w="6641" w:type="dxa"/>
            <w:vAlign w:val="center"/>
            <w:textDirection w:val="lrTb"/>
            <w:noWrap/>
          </w:tcPr>
          <w:p>
            <w:pPr>
              <w:pStyle w:val="1103"/>
              <w:jc w:val="left"/>
              <w:rPr>
                <w:rFonts w:ascii="仿宋" w:hAnsi="仿宋" w:eastAsia="仿宋"/>
                <w:color w:val="auto"/>
                <w:sz w:val="24"/>
                <w:highlight w:val="none"/>
                <w:lang w:val="zh-CN"/>
              </w:rPr>
            </w:pPr>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江苏金宸招标代理有限公司</w:t>
            </w:r>
            <w:r/>
          </w:p>
          <w:p>
            <w:pPr>
              <w:pStyle w:val="1103"/>
              <w:jc w:val="left"/>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ascii="仿宋" w:hAnsi="仿宋" w:eastAsia="仿宋"/>
                <w:color w:val="auto"/>
                <w:sz w:val="24"/>
                <w:highlight w:val="none"/>
              </w:rPr>
              <w:t xml:space="preserve">靖江市</w:t>
            </w:r>
            <w:r>
              <w:rPr>
                <w:rFonts w:hint="eastAsia" w:ascii="仿宋" w:hAnsi="仿宋" w:eastAsia="仿宋"/>
                <w:color w:val="auto"/>
                <w:sz w:val="24"/>
                <w:highlight w:val="none"/>
              </w:rPr>
              <w:t xml:space="preserve">晨阳路（高德/百度地图导航公司名称）</w:t>
            </w:r>
            <w:r/>
          </w:p>
          <w:p>
            <w:pPr>
              <w:rPr>
                <w:rFonts w:ascii="仿宋" w:hAnsi="仿宋" w:eastAsia="仿宋" w:cs="仿宋"/>
                <w:color w:val="auto"/>
                <w:sz w:val="24"/>
                <w:highlight w:val="none"/>
                <w:lang w:val="zh-CN"/>
              </w:rPr>
            </w:pPr>
            <w:r>
              <w:rPr>
                <w:rFonts w:ascii="仿宋" w:hAnsi="仿宋" w:eastAsia="仿宋"/>
                <w:color w:val="auto"/>
                <w:sz w:val="24"/>
                <w:highlight w:val="none"/>
                <w:lang w:val="zh-CN"/>
              </w:rPr>
              <w:t xml:space="preserve">电    话：0523-</w:t>
            </w:r>
            <w:r>
              <w:rPr>
                <w:rFonts w:hint="eastAsia" w:ascii="仿宋" w:hAnsi="仿宋" w:eastAsia="仿宋"/>
                <w:color w:val="auto"/>
                <w:sz w:val="24"/>
                <w:highlight w:val="none"/>
              </w:rPr>
              <w:t xml:space="preserve">84828482 </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1.4</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评审办法</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综合评分法</w:t>
            </w:r>
            <w:r/>
          </w:p>
          <w:p>
            <w:pPr>
              <w:rPr>
                <w:rFonts w:ascii="仿宋" w:hAnsi="仿宋" w:eastAsia="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最低评标价法</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1.5</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w:t>
            </w:r>
            <w:r/>
          </w:p>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资格要求</w:t>
            </w:r>
            <w:r/>
          </w:p>
        </w:tc>
        <w:tc>
          <w:tcPr>
            <w:tcW w:w="6641" w:type="dxa"/>
            <w:vAlign w:val="center"/>
            <w:textDirection w:val="lrTb"/>
            <w:noWrap/>
          </w:tcPr>
          <w:p>
            <w:pPr>
              <w:pStyle w:val="1250"/>
              <w:spacing w:before="0" w:beforeAutospacing="0" w:after="0" w:afterAutospacing="0"/>
              <w:rPr>
                <w:rFonts w:ascii="仿宋" w:hAnsi="仿宋" w:eastAsia="仿宋" w:cs="仿宋"/>
                <w:color w:val="auto"/>
                <w:highlight w:val="none"/>
                <w:lang w:val="zh-CN"/>
              </w:rPr>
            </w:pPr>
            <w:r>
              <w:rPr>
                <w:rFonts w:hint="eastAsia" w:ascii="仿宋" w:hAnsi="仿宋" w:eastAsia="仿宋" w:cs="仿宋"/>
                <w:b/>
                <w:color w:val="auto"/>
                <w:highlight w:val="none"/>
                <w:lang w:val="zh-CN"/>
              </w:rPr>
              <w:t xml:space="preserve">见网上公告要求。</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1.6</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是否接受联合体响应</w:t>
            </w:r>
            <w:r/>
          </w:p>
        </w:tc>
        <w:tc>
          <w:tcPr>
            <w:tcW w:w="6641" w:type="dxa"/>
            <w:vAlign w:val="center"/>
            <w:textDirection w:val="lrTb"/>
            <w:noWrap/>
          </w:tcPr>
          <w:p>
            <w:pPr>
              <w:rPr>
                <w:rFonts w:ascii="仿宋" w:hAnsi="仿宋" w:eastAsia="仿宋" w:cs="仿宋"/>
                <w:color w:val="auto"/>
                <w:sz w:val="24"/>
                <w:highlight w:val="none"/>
              </w:rPr>
            </w:pPr>
            <w:r>
              <w:rPr>
                <w:rFonts w:hint="eastAsia" w:ascii="MS Mincho" w:hAnsi="MS Mincho" w:eastAsia="MS Mincho" w:cs="MS Mincho"/>
                <w:color w:val="auto"/>
                <w:sz w:val="24"/>
                <w:highlight w:val="none"/>
              </w:rPr>
              <w:t xml:space="preserve">☑</w:t>
            </w:r>
            <w:r>
              <w:rPr>
                <w:rFonts w:hint="eastAsia" w:ascii="仿宋" w:hAnsi="仿宋" w:eastAsia="仿宋" w:cs="仿宋"/>
                <w:color w:val="auto"/>
                <w:sz w:val="24"/>
                <w:highlight w:val="none"/>
              </w:rPr>
              <w:t xml:space="preserve">不接受</w:t>
            </w:r>
            <w:r/>
          </w:p>
          <w:p>
            <w:pPr>
              <w:rPr>
                <w:rFonts w:ascii="仿宋" w:hAnsi="仿宋" w:eastAsia="仿宋" w:cs="仿宋"/>
                <w:color w:val="auto"/>
                <w:sz w:val="24"/>
                <w:highlight w:val="none"/>
                <w:lang w:val="zh-CN"/>
              </w:rPr>
            </w:pPr>
            <w:r>
              <w:rPr>
                <w:rFonts w:hint="eastAsia" w:ascii="MS Mincho" w:hAnsi="MS Mincho" w:cs="MS Mincho"/>
                <w:color w:val="auto"/>
                <w:sz w:val="24"/>
                <w:highlight w:val="none"/>
              </w:rPr>
              <w:t xml:space="preserve">□</w:t>
            </w:r>
            <w:r>
              <w:rPr>
                <w:rFonts w:hint="eastAsia" w:ascii="仿宋" w:hAnsi="仿宋" w:eastAsia="仿宋" w:cs="仿宋"/>
                <w:color w:val="auto"/>
                <w:sz w:val="24"/>
                <w:highlight w:val="none"/>
              </w:rPr>
              <w:t xml:space="preserve">接  受，应满</w:t>
            </w:r>
            <w:r>
              <w:rPr>
                <w:rFonts w:hint="eastAsia" w:ascii="仿宋" w:hAnsi="仿宋" w:eastAsia="仿宋" w:cs="仿宋"/>
                <w:color w:val="auto"/>
                <w:sz w:val="24"/>
                <w:highlight w:val="none"/>
                <w:lang w:val="zh-CN"/>
              </w:rPr>
              <w:t xml:space="preserve">足下列要求：/</w:t>
            </w:r>
            <w:r/>
          </w:p>
        </w:tc>
      </w:tr>
      <w:tr>
        <w:trPr>
          <w:jc w:val="center"/>
          <w:trHeight w:val="94"/>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1.7</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服务</w:t>
            </w:r>
            <w:r>
              <w:rPr>
                <w:rFonts w:hint="eastAsia" w:ascii="仿宋" w:hAnsi="仿宋" w:eastAsia="仿宋" w:cs="仿宋"/>
                <w:color w:val="auto"/>
                <w:sz w:val="24"/>
                <w:highlight w:val="none"/>
                <w:lang w:val="zh-CN"/>
              </w:rPr>
              <w:t xml:space="preserve">期</w:t>
            </w:r>
            <w:r/>
          </w:p>
        </w:tc>
        <w:tc>
          <w:tcPr>
            <w:tcW w:w="6641" w:type="dxa"/>
            <w:vAlign w:val="center"/>
            <w:textDirection w:val="lrTb"/>
            <w:noWrap/>
          </w:tcPr>
          <w:p>
            <w:pPr>
              <w:rPr>
                <w:rFonts w:ascii="MS Mincho" w:hAnsi="MS Mincho" w:eastAsia="仿宋" w:cs="MS Mincho"/>
                <w:color w:val="auto"/>
                <w:sz w:val="24"/>
                <w:highlight w:val="none"/>
              </w:rPr>
            </w:pPr>
            <w:r>
              <w:rPr>
                <w:rFonts w:hint="eastAsia" w:ascii="仿宋" w:hAnsi="仿宋" w:eastAsia="仿宋" w:cs="仿宋"/>
                <w:color w:val="auto"/>
                <w:sz w:val="24"/>
                <w:highlight w:val="none"/>
              </w:rPr>
              <w:t xml:space="preserve">合同签订之日起两年</w:t>
            </w:r>
            <w:r/>
          </w:p>
        </w:tc>
      </w:tr>
      <w:tr>
        <w:trPr>
          <w:jc w:val="center"/>
          <w:trHeight w:val="1342"/>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1.8</w:t>
            </w:r>
            <w:r/>
          </w:p>
        </w:tc>
        <w:tc>
          <w:tcPr>
            <w:tcW w:w="1803" w:type="dxa"/>
            <w:vAlign w:val="center"/>
            <w:textDirection w:val="lrTb"/>
            <w:noWrap/>
          </w:tcPr>
          <w:p>
            <w:pPr>
              <w:pStyle w:val="1103"/>
              <w:jc w:val="center"/>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付款方式</w:t>
            </w:r>
            <w:r/>
          </w:p>
        </w:tc>
        <w:tc>
          <w:tcPr>
            <w:tcW w:w="6641" w:type="dxa"/>
            <w:vAlign w:val="center"/>
            <w:textDirection w:val="lrTb"/>
            <w:noWrap/>
          </w:tcPr>
          <w:p>
            <w:pPr>
              <w:pStyle w:val="889"/>
              <w:spacing w:before="0" w:after="0"/>
              <w:rPr>
                <w:rFonts w:ascii="仿宋" w:hAnsi="仿宋" w:eastAsia="仿宋" w:cs="Times New Roman"/>
                <w:b w:val="0"/>
                <w:bCs w:val="0"/>
                <w:color w:val="auto"/>
                <w:sz w:val="24"/>
                <w:szCs w:val="22"/>
                <w:highlight w:val="none"/>
                <w:lang w:val="zh-CN"/>
              </w:rPr>
            </w:pPr>
            <w:r/>
            <w:bookmarkStart w:id="38" w:name="OLE_LINK81"/>
            <w:r>
              <w:rPr>
                <w:rFonts w:hint="eastAsia" w:ascii="仿宋" w:hAnsi="仿宋" w:eastAsia="仿宋" w:cs="Times New Roman"/>
                <w:b w:val="0"/>
                <w:bCs w:val="0"/>
                <w:color w:val="auto"/>
                <w:sz w:val="24"/>
                <w:szCs w:val="22"/>
                <w:highlight w:val="none"/>
                <w:lang w:val="zh-CN"/>
              </w:rPr>
              <w:t xml:space="preserve">中标合同价款一律通过银行汇入中标人账户。</w:t>
            </w:r>
            <w:r/>
          </w:p>
          <w:p>
            <w:pPr>
              <w:pStyle w:val="889"/>
              <w:spacing w:before="0" w:after="0"/>
              <w:rPr>
                <w:rFonts w:ascii="仿宋" w:hAnsi="仿宋" w:eastAsia="仿宋" w:cs="Times New Roman"/>
                <w:b w:val="0"/>
                <w:bCs w:val="0"/>
                <w:color w:val="auto"/>
                <w:sz w:val="24"/>
                <w:szCs w:val="22"/>
                <w:highlight w:val="none"/>
                <w:lang w:val="zh-CN"/>
              </w:rPr>
            </w:pPr>
            <w:r>
              <w:rPr>
                <w:rFonts w:hint="eastAsia" w:ascii="仿宋" w:hAnsi="仿宋" w:eastAsia="仿宋" w:cs="Times New Roman"/>
                <w:b w:val="0"/>
                <w:bCs w:val="0"/>
                <w:color w:val="auto"/>
                <w:sz w:val="24"/>
                <w:szCs w:val="22"/>
                <w:highlight w:val="none"/>
                <w:lang w:val="zh-CN"/>
              </w:rPr>
              <w:t xml:space="preserve">（1）合同签订后，30日内支付合同</w:t>
            </w:r>
            <w:bookmarkStart w:id="39" w:name="OLE_LINK1"/>
            <w:r>
              <w:rPr>
                <w:rFonts w:hint="eastAsia" w:ascii="仿宋" w:hAnsi="仿宋" w:eastAsia="仿宋" w:cs="Times New Roman"/>
                <w:b w:val="0"/>
                <w:bCs w:val="0"/>
                <w:color w:val="auto"/>
                <w:sz w:val="24"/>
                <w:szCs w:val="22"/>
                <w:highlight w:val="none"/>
                <w:lang w:val="zh-CN"/>
              </w:rPr>
              <w:t xml:space="preserve">金</w:t>
            </w:r>
            <w:bookmarkEnd w:id="39"/>
            <w:r>
              <w:rPr>
                <w:rFonts w:hint="eastAsia" w:ascii="仿宋" w:hAnsi="仿宋" w:eastAsia="仿宋" w:cs="Times New Roman"/>
                <w:b w:val="0"/>
                <w:bCs w:val="0"/>
                <w:color w:val="auto"/>
                <w:sz w:val="24"/>
                <w:szCs w:val="22"/>
                <w:highlight w:val="none"/>
                <w:lang w:val="zh-CN"/>
              </w:rPr>
              <w:t xml:space="preserve">额的30%；</w:t>
            </w:r>
            <w:r/>
          </w:p>
          <w:p>
            <w:pPr>
              <w:pStyle w:val="889"/>
              <w:spacing w:before="0" w:after="0"/>
              <w:rPr>
                <w:rFonts w:ascii="仿宋" w:hAnsi="仿宋" w:eastAsia="仿宋" w:cs="Times New Roman"/>
                <w:b w:val="0"/>
                <w:bCs w:val="0"/>
                <w:color w:val="auto"/>
                <w:sz w:val="24"/>
                <w:szCs w:val="22"/>
                <w:highlight w:val="none"/>
                <w:lang w:val="zh-CN"/>
              </w:rPr>
            </w:pPr>
            <w:r>
              <w:rPr>
                <w:rFonts w:hint="eastAsia" w:ascii="仿宋" w:hAnsi="仿宋" w:eastAsia="仿宋" w:cs="Times New Roman"/>
                <w:b w:val="0"/>
                <w:bCs w:val="0"/>
                <w:color w:val="auto"/>
                <w:sz w:val="24"/>
                <w:szCs w:val="22"/>
                <w:highlight w:val="none"/>
                <w:lang w:val="zh-CN"/>
              </w:rPr>
              <w:t xml:space="preserve">（2）完成2026年度相关工作成果后，支付到合同金额的65%；</w:t>
            </w:r>
            <w:r/>
          </w:p>
          <w:p>
            <w:pPr>
              <w:pStyle w:val="889"/>
              <w:spacing w:before="0" w:after="0"/>
              <w:rPr>
                <w:rFonts w:ascii="仿宋" w:hAnsi="仿宋" w:eastAsia="仿宋" w:cs="Times New Roman"/>
                <w:b w:val="0"/>
                <w:bCs w:val="0"/>
                <w:color w:val="auto"/>
                <w:sz w:val="24"/>
                <w:szCs w:val="22"/>
                <w:highlight w:val="none"/>
                <w:lang w:val="zh-CN"/>
              </w:rPr>
            </w:pPr>
            <w:r>
              <w:rPr>
                <w:rFonts w:hint="eastAsia" w:ascii="仿宋" w:hAnsi="仿宋" w:eastAsia="仿宋" w:cs="Times New Roman"/>
                <w:b w:val="0"/>
                <w:bCs w:val="0"/>
                <w:color w:val="auto"/>
                <w:sz w:val="24"/>
                <w:szCs w:val="22"/>
                <w:highlight w:val="none"/>
                <w:lang w:val="zh-CN"/>
              </w:rPr>
              <w:t xml:space="preserve">（3）完成2027年度相关工作成果后，支付到合同金额的85%；</w:t>
            </w:r>
            <w:r/>
          </w:p>
          <w:p>
            <w:pPr>
              <w:pStyle w:val="889"/>
              <w:spacing w:before="0" w:after="0"/>
              <w:rPr>
                <w:rFonts w:ascii="仿宋" w:hAnsi="仿宋" w:eastAsia="仿宋" w:cs="Times New Roman"/>
                <w:b w:val="0"/>
                <w:bCs w:val="0"/>
                <w:color w:val="auto"/>
                <w:sz w:val="24"/>
                <w:szCs w:val="22"/>
                <w:highlight w:val="none"/>
                <w:lang w:val="zh-CN"/>
              </w:rPr>
            </w:pPr>
            <w:r>
              <w:rPr>
                <w:rFonts w:hint="eastAsia" w:ascii="仿宋" w:hAnsi="仿宋" w:eastAsia="仿宋" w:cs="Times New Roman"/>
                <w:b w:val="0"/>
                <w:bCs w:val="0"/>
                <w:color w:val="auto"/>
                <w:sz w:val="24"/>
                <w:szCs w:val="22"/>
                <w:highlight w:val="none"/>
                <w:lang w:val="zh-CN"/>
              </w:rPr>
              <w:t xml:space="preserve">（4）完成2028年度相关工作成果后，支付到合同金额的100%。</w:t>
            </w:r>
            <w:r/>
          </w:p>
          <w:p>
            <w:pPr>
              <w:pStyle w:val="1103"/>
              <w:jc w:val="left"/>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注：在签订合同时，供应商明确表示无需预付款或者主动要求降低预付款比例的，采购人可不适用预付规定。</w:t>
            </w:r>
            <w:bookmarkEnd w:id="38"/>
            <w:r/>
            <w:r/>
          </w:p>
        </w:tc>
      </w:tr>
      <w:tr>
        <w:trPr>
          <w:jc w:val="center"/>
          <w:trHeight w:val="446"/>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1.9</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售后服务</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售后服务要求见</w:t>
            </w:r>
            <w:r>
              <w:rPr>
                <w:rFonts w:hint="eastAsia" w:ascii="仿宋" w:hAnsi="仿宋" w:eastAsia="仿宋" w:cs="仿宋"/>
                <w:color w:val="auto"/>
                <w:sz w:val="24"/>
                <w:highlight w:val="none"/>
              </w:rPr>
              <w:t xml:space="preserve">第十一章 项目需求以及技术要求。</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1.10</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踏勘现场</w:t>
            </w:r>
            <w:r/>
          </w:p>
        </w:tc>
        <w:tc>
          <w:tcPr>
            <w:tcW w:w="6641" w:type="dxa"/>
            <w:vAlign w:val="center"/>
            <w:textDirection w:val="lrTb"/>
            <w:noWrap/>
          </w:tcPr>
          <w:p>
            <w:pPr>
              <w:rPr>
                <w:rFonts w:ascii="仿宋" w:hAnsi="仿宋" w:eastAsia="仿宋" w:cs="仿宋"/>
                <w:color w:val="auto"/>
                <w:sz w:val="24"/>
                <w:highlight w:val="none"/>
              </w:rPr>
            </w:pPr>
            <w:r>
              <w:rPr>
                <w:rFonts w:hint="eastAsia" w:ascii="MS Mincho" w:hAnsi="MS Mincho" w:eastAsia="MS Mincho" w:cs="MS Mincho"/>
                <w:color w:val="auto"/>
                <w:sz w:val="24"/>
                <w:highlight w:val="none"/>
              </w:rPr>
              <w:t xml:space="preserve">☑</w:t>
            </w:r>
            <w:r>
              <w:rPr>
                <w:rFonts w:hint="eastAsia" w:ascii="仿宋" w:hAnsi="仿宋" w:eastAsia="仿宋" w:cs="仿宋"/>
                <w:color w:val="auto"/>
                <w:sz w:val="24"/>
                <w:highlight w:val="none"/>
              </w:rPr>
              <w:t xml:space="preserve"> 不组织，自行踏勘</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 组  织，踏勘时间：</w:t>
            </w:r>
            <w:r/>
          </w:p>
          <w:p>
            <w:pPr>
              <w:tabs>
                <w:tab w:val="left" w:pos="7665"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踏勘集中地点：</w:t>
            </w:r>
            <w:r/>
          </w:p>
          <w:p>
            <w:pPr>
              <w:tabs>
                <w:tab w:val="left" w:pos="7665" w:leader="none"/>
              </w:tabs>
              <w:rPr>
                <w:rFonts w:ascii="仿宋" w:hAnsi="仿宋" w:eastAsia="仿宋" w:cs="仿宋"/>
                <w:b/>
                <w:color w:val="auto"/>
                <w:sz w:val="24"/>
                <w:highlight w:val="none"/>
                <w:lang w:val="zh-CN"/>
              </w:rPr>
            </w:pPr>
            <w:r>
              <w:rPr>
                <w:rFonts w:hint="eastAsia" w:ascii="仿宋" w:hAnsi="仿宋" w:eastAsia="仿宋" w:cs="仿宋"/>
                <w:b/>
                <w:color w:val="auto"/>
                <w:sz w:val="24"/>
                <w:highlight w:val="none"/>
              </w:rPr>
              <w:t xml:space="preserve">注：根据采购方的实际情况，对现场自行踏勘，了解采购方实际情况需求，响应文件要符合现场实际情况；未踏勘现场的供应商中标后不得以不了解现场的具体要求而提出追加费用和其他索赔要求。</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1.11</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构成磋商文件的其他材料</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无</w:t>
            </w:r>
            <w:r/>
          </w:p>
        </w:tc>
      </w:tr>
      <w:tr>
        <w:trPr>
          <w:jc w:val="center"/>
          <w:trHeight w:val="277"/>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1.12</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供应商要求澄清磋商文件的截止时间</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b/>
                <w:color w:val="auto"/>
                <w:sz w:val="24"/>
                <w:szCs w:val="22"/>
                <w:highlight w:val="none"/>
                <w:lang w:val="en-US" w:eastAsia="zh-CN"/>
              </w:rPr>
              <w:t xml:space="preserve">2026年6月3日</w:t>
            </w:r>
            <w:r>
              <w:rPr>
                <w:rFonts w:ascii="仿宋" w:hAnsi="仿宋" w:eastAsia="仿宋"/>
                <w:b/>
                <w:color w:val="auto"/>
                <w:sz w:val="24"/>
                <w:szCs w:val="22"/>
                <w:highlight w:val="none"/>
              </w:rPr>
              <w:t xml:space="preserve">17点30分</w:t>
            </w:r>
            <w:r/>
          </w:p>
        </w:tc>
      </w:tr>
      <w:tr>
        <w:trPr>
          <w:jc w:val="center"/>
          <w:trHeight w:val="483"/>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1.13</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响应截止时间</w:t>
            </w:r>
            <w:r/>
          </w:p>
        </w:tc>
        <w:tc>
          <w:tcPr>
            <w:tcW w:w="6641" w:type="dxa"/>
            <w:vAlign w:val="center"/>
            <w:textDirection w:val="lrTb"/>
            <w:noWrap/>
          </w:tcPr>
          <w:p>
            <w:pPr>
              <w:rPr>
                <w:rFonts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与开标截止日时点相同。</w:t>
            </w:r>
            <w:r/>
          </w:p>
        </w:tc>
      </w:tr>
      <w:tr>
        <w:trPr>
          <w:jc w:val="center"/>
          <w:trHeight w:val="90"/>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zh-CN"/>
              </w:rPr>
              <w:t xml:space="preserve">.14</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供应商确认收到磋商文件澄清的时间</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响应截止时间前，供应商自行关注“江苏政府采购网（</w:t>
            </w:r>
            <w:r>
              <w:rPr>
                <w:rFonts w:hint="eastAsia" w:ascii="仿宋" w:hAnsi="仿宋" w:eastAsia="仿宋"/>
                <w:color w:val="auto"/>
                <w:sz w:val="24"/>
                <w:highlight w:val="none"/>
                <w:u w:val="single"/>
              </w:rPr>
              <w:t xml:space="preserve">http://www.ccgp-jiangsu.gov.cn/</w:t>
            </w:r>
            <w:r>
              <w:rPr>
                <w:rFonts w:hint="eastAsia" w:ascii="仿宋" w:hAnsi="仿宋" w:eastAsia="仿宋" w:cs="仿宋"/>
                <w:color w:val="auto"/>
                <w:sz w:val="24"/>
                <w:highlight w:val="none"/>
                <w:lang w:val="zh-CN"/>
              </w:rPr>
              <w:t xml:space="preserve">）”。</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1.15</w:t>
            </w:r>
            <w:r/>
          </w:p>
        </w:tc>
        <w:tc>
          <w:tcPr>
            <w:tcW w:w="1803" w:type="dxa"/>
            <w:vAlign w:val="center"/>
            <w:textDirection w:val="lrTb"/>
            <w:noWrap/>
          </w:tcPr>
          <w:p>
            <w:pPr>
              <w:ind w:right="-130"/>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供应商确认收到磋商文件修改、补充的时间</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响应截止时间前，供应商自行关注“江苏政府采购网（</w:t>
            </w:r>
            <w:r>
              <w:rPr>
                <w:rFonts w:hint="eastAsia" w:ascii="仿宋" w:hAnsi="仿宋" w:eastAsia="仿宋"/>
                <w:color w:val="auto"/>
                <w:sz w:val="24"/>
                <w:highlight w:val="none"/>
                <w:u w:val="single"/>
              </w:rPr>
              <w:t xml:space="preserve">http://www.ccgp-jiangsu.gov.cn/</w:t>
            </w:r>
            <w:r>
              <w:rPr>
                <w:rFonts w:hint="eastAsia" w:ascii="仿宋" w:hAnsi="仿宋" w:eastAsia="仿宋" w:cs="仿宋"/>
                <w:color w:val="auto"/>
                <w:sz w:val="24"/>
                <w:highlight w:val="none"/>
                <w:lang w:val="zh-CN"/>
              </w:rPr>
              <w:t xml:space="preserve">）”。</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1.16</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磋商响应有效期</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自响应截止之日起60天。</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1.17</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构成商务标书的其他材料</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按磋商文件要求。</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1.18</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供应商资格要求的证明材料和情况说明</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见磋商文件第</w:t>
            </w:r>
            <w:r>
              <w:rPr>
                <w:rFonts w:hint="eastAsia" w:ascii="仿宋" w:hAnsi="仿宋" w:eastAsia="仿宋" w:cs="仿宋"/>
                <w:color w:val="auto"/>
                <w:sz w:val="24"/>
                <w:highlight w:val="none"/>
              </w:rPr>
              <w:t xml:space="preserve">四</w:t>
            </w:r>
            <w:r>
              <w:rPr>
                <w:rFonts w:hint="eastAsia" w:ascii="仿宋" w:hAnsi="仿宋" w:eastAsia="仿宋" w:cs="仿宋"/>
                <w:color w:val="auto"/>
                <w:sz w:val="24"/>
                <w:highlight w:val="none"/>
                <w:lang w:val="zh-CN"/>
              </w:rPr>
              <w:t xml:space="preserve">章规定。</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1.19</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构成技术标书的其他材料</w:t>
            </w:r>
            <w:r/>
          </w:p>
        </w:tc>
        <w:tc>
          <w:tcPr>
            <w:tcW w:w="6641" w:type="dxa"/>
            <w:vAlign w:val="center"/>
            <w:textDirection w:val="lrTb"/>
            <w:noWrap/>
          </w:tcPr>
          <w:p>
            <w:pPr>
              <w:tabs>
                <w:tab w:val="left" w:pos="7665"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按磋商文件要求。</w:t>
            </w:r>
            <w:r/>
          </w:p>
        </w:tc>
      </w:tr>
      <w:tr>
        <w:trPr>
          <w:jc w:val="center"/>
          <w:trHeight w:val="90"/>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1.20</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服务费</w:t>
            </w:r>
            <w:r>
              <w:rPr>
                <w:rFonts w:hint="eastAsia" w:ascii="仿宋" w:hAnsi="仿宋" w:eastAsia="仿宋" w:cs="仿宋"/>
                <w:color w:val="auto"/>
                <w:sz w:val="24"/>
                <w:highlight w:val="none"/>
                <w:lang w:val="zh-CN"/>
              </w:rPr>
              <w:t xml:space="preserve">范围</w:t>
            </w:r>
            <w:r/>
          </w:p>
        </w:tc>
        <w:tc>
          <w:tcPr>
            <w:tcW w:w="6641" w:type="dxa"/>
            <w:vAlign w:val="center"/>
            <w:textDirection w:val="lrTb"/>
            <w:noWrap/>
          </w:tcPr>
          <w:p>
            <w:pPr>
              <w:ind w:right="-160"/>
              <w:rPr>
                <w:color w:val="auto"/>
                <w:highlight w:val="none"/>
              </w:rPr>
            </w:pPr>
            <w:r>
              <w:rPr>
                <w:rFonts w:hint="eastAsia" w:ascii="仿宋" w:hAnsi="仿宋" w:eastAsia="仿宋" w:cs="仿宋"/>
                <w:b/>
                <w:color w:val="auto"/>
                <w:sz w:val="24"/>
                <w:highlight w:val="none"/>
                <w:lang w:val="zh-CN"/>
              </w:rPr>
              <w:t xml:space="preserve">为含税全包价（总价包干报价）</w:t>
            </w:r>
            <w:r>
              <w:rPr>
                <w:rFonts w:hint="eastAsia" w:ascii="仿宋" w:hAnsi="仿宋" w:eastAsia="仿宋"/>
                <w:b/>
                <w:color w:val="auto"/>
                <w:sz w:val="24"/>
                <w:szCs w:val="22"/>
                <w:highlight w:val="none"/>
              </w:rPr>
              <w:t xml:space="preserve">。</w:t>
            </w:r>
            <w:r>
              <w:rPr>
                <w:rFonts w:hint="eastAsia" w:ascii="仿宋" w:hAnsi="仿宋" w:eastAsia="仿宋" w:cs="仿宋"/>
                <w:color w:val="auto"/>
                <w:sz w:val="24"/>
                <w:highlight w:val="none"/>
                <w:lang w:val="zh-CN"/>
              </w:rPr>
              <w:t xml:space="preserve">其内容包含①水生态调查监测费（河道/湖库基础调查、现场采样与监测、遥感与无人机巡查），②分析评估费（现状评估、问题诊断、趋势预测），③方案编制费（美丽河湖建设实施方案、专项报告），④成果交付与评审费（报告编制、打印、装订、图件绘制、电子成果，专家评审会费用（含专家咨询费、会议费）、修改完善费用），⑤项目管理费（人员费、交通费、差旅费、设备使用费、办公费、税费、合理利润），⑥</w:t>
            </w:r>
            <w:r>
              <w:rPr>
                <w:rFonts w:hint="eastAsia" w:ascii="仿宋" w:hAnsi="仿宋" w:eastAsia="仿宋"/>
                <w:color w:val="auto"/>
                <w:sz w:val="24"/>
                <w:highlight w:val="none"/>
                <w:lang w:val="zh-CN"/>
              </w:rPr>
              <w:t xml:space="preserve">税金、通讯、办公设备、政策性文件规定及合同包含的风险、责任等各项应有费用，以及服务过程中发生的一切费用</w:t>
            </w:r>
            <w:r>
              <w:rPr>
                <w:rFonts w:hint="eastAsia" w:ascii="仿宋" w:hAnsi="仿宋" w:eastAsia="仿宋" w:cs="仿宋"/>
                <w:color w:val="auto"/>
                <w:sz w:val="24"/>
                <w:highlight w:val="none"/>
                <w:lang w:val="zh-CN"/>
              </w:rPr>
              <w:t xml:space="preserve">，⑦也包含委托代理服务费（因历年来类似项目均由中标单位支付且采购预算中已包含招标代理服务费），该费用不单独列支，无论供应商是否计算均视为</w:t>
            </w:r>
            <w:r>
              <w:rPr>
                <w:rFonts w:hint="eastAsia" w:ascii="仿宋" w:hAnsi="仿宋" w:eastAsia="仿宋" w:cs="Arial"/>
                <w:color w:val="auto"/>
                <w:sz w:val="24"/>
                <w:highlight w:val="none"/>
                <w:lang w:val="en-GB"/>
              </w:rPr>
              <w:t xml:space="preserve">包含在总报价内,并于中标后向服务单位支付。</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招标文件未列明，而投标人认为必需的费用也需列入报价。投标人在进行报价时应充分考虑到各环节成本因素，报价一经报定，不得更改，并作为中标后开展工作的收费标准。</w:t>
            </w:r>
            <w:r/>
          </w:p>
        </w:tc>
      </w:tr>
      <w:tr>
        <w:trPr>
          <w:jc w:val="center"/>
          <w:trHeight w:val="587"/>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1.21</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磋商报价内容的其他要求</w:t>
            </w:r>
            <w:r/>
          </w:p>
        </w:tc>
        <w:tc>
          <w:tcPr>
            <w:tcW w:w="6641" w:type="dxa"/>
            <w:vAlign w:val="center"/>
            <w:textDirection w:val="lrTb"/>
            <w:noWrap/>
          </w:tcPr>
          <w:p>
            <w:pPr>
              <w:tabs>
                <w:tab w:val="left" w:pos="7665" w:leader="none"/>
              </w:tabs>
              <w:rPr>
                <w:rFonts w:ascii="仿宋" w:hAnsi="仿宋" w:eastAsia="仿宋" w:cs="仿宋"/>
                <w:color w:val="auto"/>
                <w:sz w:val="24"/>
                <w:highlight w:val="none"/>
                <w:lang w:val="zh-CN"/>
              </w:rPr>
            </w:pPr>
            <w:r>
              <w:rPr>
                <w:rFonts w:hint="eastAsia" w:ascii="仿宋" w:hAnsi="仿宋" w:eastAsia="仿宋"/>
                <w:color w:val="auto"/>
                <w:sz w:val="24"/>
                <w:szCs w:val="22"/>
                <w:highlight w:val="none"/>
              </w:rPr>
              <w:t xml:space="preserve">按采购需求规定</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1.22</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是否允许递交备选响应方案</w:t>
            </w:r>
            <w:r/>
          </w:p>
        </w:tc>
        <w:tc>
          <w:tcPr>
            <w:tcW w:w="6641" w:type="dxa"/>
            <w:vAlign w:val="center"/>
            <w:textDirection w:val="lrTb"/>
            <w:noWrap/>
          </w:tcPr>
          <w:p>
            <w:pPr>
              <w:rPr>
                <w:rFonts w:ascii="仿宋" w:hAnsi="仿宋" w:eastAsia="仿宋" w:cs="仿宋"/>
                <w:color w:val="auto"/>
                <w:sz w:val="24"/>
                <w:highlight w:val="none"/>
                <w:lang w:val="zh-CN"/>
              </w:rPr>
            </w:pPr>
            <w:r>
              <w:rPr>
                <w:rFonts w:ascii="Wingdings 2" w:hAnsi="Wingdings 2" w:eastAsia="Wingdings 2" w:cs="Wingdings 2"/>
                <w:color w:val="auto"/>
                <w:sz w:val="24"/>
                <w:highlight w:val="none"/>
                <w:lang w:val="zh-CN"/>
              </w:rPr>
              <w:t xml:space="preserve"></w:t>
            </w:r>
            <w:r>
              <w:rPr>
                <w:rFonts w:hint="eastAsia" w:ascii="仿宋" w:hAnsi="仿宋" w:eastAsia="仿宋" w:cs="仿宋"/>
                <w:color w:val="auto"/>
                <w:sz w:val="24"/>
                <w:highlight w:val="none"/>
                <w:lang w:val="zh-CN"/>
              </w:rPr>
              <w:t xml:space="preserve"> 不允许</w:t>
            </w:r>
            <w:r/>
          </w:p>
          <w:p>
            <w:pPr>
              <w:rPr>
                <w:rFonts w:ascii="仿宋" w:hAnsi="仿宋" w:eastAsia="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MS Mincho" w:hAnsi="MS Mincho" w:cs="MS Mincho"/>
                <w:color w:val="auto"/>
                <w:sz w:val="24"/>
                <w:highlight w:val="none"/>
                <w:lang w:val="zh-CN"/>
              </w:rPr>
              <w:t xml:space="preserve"> </w:t>
            </w:r>
            <w:r>
              <w:rPr>
                <w:rFonts w:hint="eastAsia" w:ascii="仿宋" w:hAnsi="仿宋" w:eastAsia="仿宋" w:cs="仿宋"/>
                <w:color w:val="auto"/>
                <w:sz w:val="24"/>
                <w:highlight w:val="none"/>
                <w:lang w:val="zh-CN"/>
              </w:rPr>
              <w:t xml:space="preserve">允  许，备选响应方案的编制要求、评标办法：</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1.23</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样品要求</w:t>
            </w:r>
            <w:r/>
          </w:p>
        </w:tc>
        <w:tc>
          <w:tcPr>
            <w:tcW w:w="6641" w:type="dxa"/>
            <w:vAlign w:val="center"/>
            <w:textDirection w:val="lrTb"/>
            <w:noWrap/>
          </w:tcPr>
          <w:p>
            <w:pPr>
              <w:ind w:left="360" w:hanging="360"/>
              <w:rPr>
                <w:rFonts w:ascii="仿宋" w:hAnsi="仿宋" w:eastAsia="仿宋" w:cs="仿宋"/>
                <w:color w:val="auto"/>
                <w:sz w:val="24"/>
                <w:highlight w:val="none"/>
                <w:lang w:val="zh-CN"/>
              </w:rPr>
            </w:pPr>
            <w:r>
              <w:rPr>
                <w:rFonts w:ascii="Wingdings 2" w:hAnsi="Wingdings 2" w:eastAsia="Wingdings 2" w:cs="Wingdings 2"/>
                <w:color w:val="auto"/>
                <w:sz w:val="24"/>
                <w:highlight w:val="none"/>
                <w:lang w:val="zh-CN"/>
              </w:rPr>
              <w:t xml:space="preserve"></w:t>
            </w:r>
            <w:r>
              <w:rPr>
                <w:rFonts w:hint="eastAsia" w:ascii="仿宋" w:hAnsi="仿宋" w:eastAsia="仿宋" w:cs="仿宋"/>
                <w:color w:val="auto"/>
                <w:sz w:val="24"/>
                <w:highlight w:val="none"/>
                <w:lang w:val="zh-CN"/>
              </w:rPr>
              <w:t xml:space="preserve">不需提交样品</w:t>
            </w:r>
            <w:r/>
          </w:p>
          <w:p>
            <w:pPr>
              <w:ind w:left="360" w:hanging="360"/>
              <w:rPr>
                <w:rFonts w:ascii="仿宋" w:hAnsi="仿宋" w:eastAsia="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MS Mincho" w:hAnsi="MS Mincho" w:cs="MS Mincho"/>
                <w:color w:val="auto"/>
                <w:sz w:val="24"/>
                <w:highlight w:val="none"/>
                <w:lang w:val="zh-CN"/>
              </w:rPr>
              <w:t xml:space="preserve"> </w:t>
            </w:r>
            <w:r>
              <w:rPr>
                <w:rFonts w:hint="eastAsia" w:ascii="仿宋" w:hAnsi="仿宋" w:eastAsia="仿宋" w:cs="仿宋"/>
                <w:color w:val="auto"/>
                <w:sz w:val="24"/>
                <w:highlight w:val="none"/>
                <w:lang w:val="zh-CN"/>
              </w:rPr>
              <w:t xml:space="preserve">需提交样品，样品送达要求如下：</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1.24</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ascii="仿宋" w:hAnsi="仿宋" w:eastAsia="仿宋"/>
                <w:color w:val="auto"/>
                <w:sz w:val="24"/>
                <w:highlight w:val="none"/>
                <w:lang w:val="zh-CN"/>
              </w:rPr>
              <w:t xml:space="preserve">投标文件递交</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本项目通过“苏采云”系统进行电子采购，即供应商响应文件从政府采购客户端工具制作并通过“苏采云”系统提交。</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供应商应当通过“苏采云”系统提交数据电文形式的响应文件（即电子投标）。未进行线上响应文件提交并解密(因“苏采云”系统导致解密失败的除外)的供应商，响应无效。</w:t>
            </w:r>
            <w:r/>
          </w:p>
          <w:p>
            <w:pPr>
              <w:jc w:val="lef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使用需要第三方认证的电子签名、数据电文，通过互联网方式提交首次响应文件。即：使用“电子签名认证证书（CA数字证书）”登录“苏采云”系统（网址：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仿宋" w:hAnsi="仿宋" w:eastAsia="仿宋" w:cs="仿宋"/>
                <w:color w:val="auto"/>
                <w:sz w:val="24"/>
                <w:highlight w:val="none"/>
                <w:lang w:val="zh-CN"/>
              </w:rPr>
              <w:t xml:space="preserve">http://jszfcg.jsczt.cn/</w:t>
            </w:r>
            <w:r>
              <w:rPr>
                <w:rFonts w:hint="eastAsia" w:ascii="仿宋" w:hAnsi="仿宋" w:eastAsia="仿宋" w:cs="仿宋"/>
                <w:color w:val="auto"/>
                <w:sz w:val="24"/>
                <w:highlight w:val="none"/>
                <w:lang w:val="zh-CN"/>
              </w:rPr>
              <w:fldChar w:fldCharType="end"/>
            </w:r>
            <w:r>
              <w:rPr>
                <w:rFonts w:hint="eastAsia" w:ascii="仿宋" w:hAnsi="仿宋" w:eastAsia="仿宋" w:cs="仿宋"/>
                <w:color w:val="auto"/>
                <w:sz w:val="24"/>
                <w:highlight w:val="none"/>
                <w:lang w:val="zh-CN"/>
              </w:rPr>
              <w:t xml:space="preserve">），按照要求通过互联网方式提交首次响应文件。</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“苏采云”系统使用要求：</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使用谷歌浏览器参与不见面开标及</w:t>
            </w:r>
            <w:r>
              <w:rPr>
                <w:rFonts w:hint="eastAsia" w:ascii="仿宋" w:hAnsi="仿宋" w:eastAsia="仿宋" w:cs="仿宋"/>
                <w:color w:val="auto"/>
                <w:sz w:val="24"/>
                <w:highlight w:val="none"/>
              </w:rPr>
              <w:t xml:space="preserve">磋商</w:t>
            </w:r>
            <w:r>
              <w:rPr>
                <w:rFonts w:hint="eastAsia" w:ascii="仿宋" w:hAnsi="仿宋" w:eastAsia="仿宋" w:cs="仿宋"/>
                <w:color w:val="auto"/>
                <w:sz w:val="24"/>
                <w:highlight w:val="none"/>
                <w:lang w:val="zh-CN"/>
              </w:rPr>
              <w:t xml:space="preserve">环节。</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电脑需提前准备好麦克风、音响，摄像头，提前检查保证能够正常使用。</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操作系统至少win7以上，建议使用win10操作系统。</w:t>
            </w:r>
            <w:r/>
          </w:p>
          <w:p>
            <w:pPr>
              <w:rPr>
                <w:rFonts w:eastAsia="仿宋"/>
                <w:color w:val="auto"/>
                <w:highlight w:val="none"/>
              </w:rPr>
            </w:pPr>
            <w:r>
              <w:rPr>
                <w:rFonts w:hint="eastAsia" w:ascii="仿宋" w:hAnsi="仿宋" w:eastAsia="仿宋" w:cs="仿宋"/>
                <w:color w:val="auto"/>
                <w:sz w:val="24"/>
                <w:highlight w:val="none"/>
                <w:lang w:val="en-GB"/>
              </w:rPr>
              <w:t xml:space="preserve">投标</w:t>
            </w:r>
            <w:r>
              <w:rPr>
                <w:rFonts w:hint="eastAsia" w:ascii="仿宋" w:hAnsi="仿宋" w:eastAsia="仿宋" w:cs="仿宋"/>
                <w:color w:val="auto"/>
                <w:sz w:val="24"/>
                <w:highlight w:val="none"/>
                <w:lang w:val="zh-CN"/>
              </w:rPr>
              <w:t xml:space="preserve">文件递交截止时间：</w:t>
            </w:r>
            <w:r>
              <w:rPr>
                <w:rFonts w:hint="eastAsia" w:ascii="仿宋" w:hAnsi="仿宋" w:eastAsia="仿宋" w:cs="仿宋"/>
                <w:color w:val="auto"/>
                <w:sz w:val="24"/>
                <w:highlight w:val="none"/>
              </w:rPr>
              <w:t xml:space="preserve">详见网上公告。</w:t>
            </w:r>
            <w:r/>
          </w:p>
        </w:tc>
      </w:tr>
      <w:tr>
        <w:trPr>
          <w:jc w:val="center"/>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25</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是否退还</w:t>
            </w:r>
            <w:r/>
          </w:p>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响应文件</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 是   </w:t>
            </w:r>
            <w:r>
              <w:rPr>
                <w:rFonts w:ascii="Wingdings 2" w:hAnsi="Wingdings 2" w:eastAsia="Wingdings 2" w:cs="Wingdings 2"/>
                <w:color w:val="auto"/>
                <w:sz w:val="24"/>
                <w:highlight w:val="none"/>
                <w:lang w:val="zh-CN"/>
              </w:rPr>
              <w:t xml:space="preserve"></w:t>
            </w:r>
            <w:r>
              <w:rPr>
                <w:rFonts w:hint="eastAsia" w:ascii="仿宋" w:hAnsi="仿宋" w:eastAsia="仿宋" w:cs="仿宋"/>
                <w:color w:val="auto"/>
                <w:sz w:val="24"/>
                <w:highlight w:val="none"/>
                <w:lang w:val="zh-CN"/>
              </w:rPr>
              <w:t xml:space="preserve"> 否</w:t>
            </w:r>
            <w:r/>
          </w:p>
        </w:tc>
      </w:tr>
      <w:tr>
        <w:trPr>
          <w:jc w:val="center"/>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26</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开标时间</w:t>
            </w:r>
            <w:r/>
          </w:p>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和地点</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开标时间：见磋商公告规定响应截止时间和开标</w:t>
            </w:r>
            <w:r>
              <w:rPr>
                <w:rFonts w:hint="eastAsia" w:ascii="仿宋" w:hAnsi="仿宋" w:eastAsia="仿宋" w:cs="仿宋"/>
                <w:color w:val="auto"/>
                <w:sz w:val="24"/>
                <w:highlight w:val="none"/>
              </w:rPr>
              <w:t xml:space="preserve">时间</w:t>
            </w:r>
            <w:r/>
          </w:p>
          <w:p>
            <w:pPr>
              <w:jc w:val="left"/>
              <w:rPr>
                <w:color w:val="auto"/>
                <w:highlight w:val="none"/>
                <w:lang w:val="zh-CN"/>
              </w:rPr>
            </w:pPr>
            <w:r>
              <w:rPr>
                <w:rFonts w:hint="eastAsia" w:ascii="仿宋" w:hAnsi="仿宋" w:eastAsia="仿宋" w:cs="仿宋"/>
                <w:color w:val="auto"/>
                <w:sz w:val="24"/>
                <w:highlight w:val="none"/>
                <w:lang w:val="zh-CN"/>
              </w:rPr>
              <w:t xml:space="preserve">开标地点：“苏采云”系统（网址：http://jszfcg.jsczt.cn/）“开标大厅”，点击“苏采云”进入系统“开标大厅”。</w:t>
            </w:r>
            <w:r/>
          </w:p>
        </w:tc>
      </w:tr>
      <w:tr>
        <w:trPr>
          <w:jc w:val="center"/>
          <w:trHeight w:val="404"/>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27</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评审小组</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评审小组人数：</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u w:val="single"/>
              </w:rPr>
              <w:t xml:space="preserve">3 </w:t>
            </w:r>
            <w:r>
              <w:rPr>
                <w:rFonts w:hint="eastAsia" w:ascii="仿宋" w:hAnsi="仿宋" w:eastAsia="仿宋" w:cs="仿宋"/>
                <w:color w:val="auto"/>
                <w:sz w:val="24"/>
                <w:highlight w:val="none"/>
                <w:lang w:val="zh-CN"/>
              </w:rPr>
              <w:t xml:space="preserve">人，其中采购人</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u w:val="single"/>
              </w:rPr>
              <w:t xml:space="preserve">1 </w:t>
            </w:r>
            <w:r>
              <w:rPr>
                <w:rFonts w:hint="eastAsia" w:ascii="仿宋" w:hAnsi="仿宋" w:eastAsia="仿宋" w:cs="仿宋"/>
                <w:color w:val="auto"/>
                <w:sz w:val="24"/>
                <w:highlight w:val="none"/>
                <w:lang w:val="zh-CN"/>
              </w:rPr>
              <w:t xml:space="preserve">人</w:t>
            </w:r>
            <w:r/>
          </w:p>
        </w:tc>
      </w:tr>
      <w:tr>
        <w:trPr>
          <w:jc w:val="center"/>
          <w:trHeight w:val="436"/>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27</w:t>
            </w:r>
            <w:r/>
          </w:p>
        </w:tc>
        <w:tc>
          <w:tcPr>
            <w:tcW w:w="1803" w:type="dxa"/>
            <w:vAlign w:val="center"/>
            <w:textDirection w:val="lrTb"/>
            <w:noWrap/>
          </w:tcPr>
          <w:p>
            <w:pPr>
              <w:ind w:left="-124"/>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成交供应商数量</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u w:val="single"/>
              </w:rPr>
              <w:t xml:space="preserve">1 </w:t>
            </w:r>
            <w:r>
              <w:rPr>
                <w:rFonts w:hint="eastAsia" w:ascii="仿宋" w:hAnsi="仿宋" w:eastAsia="仿宋" w:cs="仿宋"/>
                <w:color w:val="auto"/>
                <w:sz w:val="24"/>
                <w:highlight w:val="none"/>
                <w:lang w:val="zh-CN"/>
              </w:rPr>
              <w:t xml:space="preserve">位成交供应商。</w:t>
            </w:r>
            <w:r/>
          </w:p>
        </w:tc>
      </w:tr>
      <w:tr>
        <w:trPr>
          <w:jc w:val="center"/>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28</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废标条款</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在项目采购中，出现下列情形之一的，应予废标：</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（1）符合专业条件的供应商或者对磋商文件作实质响应的供应商不足三家的；</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（2）出现影响采购公正的违法、违规行为的；</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w:t>
            </w:r>
            <w:r>
              <w:rPr>
                <w:rFonts w:ascii="仿宋" w:hAnsi="仿宋" w:eastAsia="仿宋" w:cs="仿宋"/>
                <w:color w:val="auto"/>
                <w:sz w:val="24"/>
                <w:highlight w:val="none"/>
                <w:lang w:val="zh-CN"/>
              </w:rPr>
              <w:t xml:space="preserve">报价超过磋商文件中规定</w:t>
            </w:r>
            <w:r>
              <w:rPr>
                <w:rFonts w:hint="eastAsia" w:ascii="仿宋" w:hAnsi="仿宋" w:eastAsia="仿宋" w:cs="仿宋"/>
                <w:color w:val="auto"/>
                <w:sz w:val="24"/>
                <w:highlight w:val="none"/>
                <w:lang w:val="zh-CN"/>
              </w:rPr>
              <w:t xml:space="preserve">采购预算</w:t>
            </w:r>
            <w:r>
              <w:rPr>
                <w:rFonts w:ascii="仿宋" w:hAnsi="仿宋" w:eastAsia="仿宋" w:cs="仿宋"/>
                <w:color w:val="auto"/>
                <w:sz w:val="24"/>
                <w:highlight w:val="none"/>
                <w:lang w:val="zh-CN"/>
              </w:rPr>
              <w:t xml:space="preserve">价的，采购人不能支付的；</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（4）因重大变故，采购任务取消的；</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（5）法律、法规以及磋商文件规定废标情形。</w:t>
            </w:r>
            <w:r/>
          </w:p>
        </w:tc>
      </w:tr>
      <w:tr>
        <w:trPr>
          <w:jc w:val="center"/>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29</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导致无效标因素</w:t>
            </w:r>
            <w:r/>
          </w:p>
        </w:tc>
        <w:tc>
          <w:tcPr>
            <w:tcW w:w="6641" w:type="dxa"/>
            <w:vAlign w:val="center"/>
            <w:textDirection w:val="lrTb"/>
            <w:noWrap/>
          </w:tcPr>
          <w:p>
            <w:pPr>
              <w:spacing w:line="32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属下列情况之一的，在资格性、符合性检查时按照无效响应处理：</w:t>
            </w:r>
            <w:r/>
          </w:p>
          <w:p>
            <w:pPr>
              <w:spacing w:line="32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（1）响应文件未按磋商文件要求签署、盖章的；</w:t>
            </w:r>
            <w:r/>
          </w:p>
          <w:p>
            <w:pPr>
              <w:spacing w:line="32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（2）不具备磋商文件中规定的资格要求的；</w:t>
            </w:r>
            <w:r/>
          </w:p>
          <w:p>
            <w:pPr>
              <w:spacing w:line="32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w:t>
            </w:r>
            <w:r>
              <w:rPr>
                <w:rFonts w:ascii="仿宋" w:hAnsi="仿宋" w:eastAsia="仿宋" w:cs="仿宋"/>
                <w:color w:val="auto"/>
                <w:sz w:val="24"/>
                <w:highlight w:val="none"/>
                <w:lang w:val="zh-CN"/>
              </w:rPr>
              <w:t xml:space="preserve">报价超过磋商文件中规定最高限价的；</w:t>
            </w:r>
            <w:r/>
          </w:p>
          <w:p>
            <w:pPr>
              <w:spacing w:line="32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（4）响应文件含有采购人不能接受的附加条件的；</w:t>
            </w:r>
            <w:r/>
          </w:p>
          <w:p>
            <w:pPr>
              <w:spacing w:line="32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（5）法律、法规和磋商文件规定的其他无效情形。</w:t>
            </w:r>
            <w:r/>
          </w:p>
        </w:tc>
      </w:tr>
      <w:tr>
        <w:trPr>
          <w:jc w:val="center"/>
        </w:trPr>
        <w:tc>
          <w:tcPr>
            <w:tcW w:w="825" w:type="dxa"/>
            <w:vAlign w:val="center"/>
            <w:textDirection w:val="lrTb"/>
            <w:noWrap/>
          </w:tcPr>
          <w:p>
            <w:pPr>
              <w:jc w:val="center"/>
              <w:rPr>
                <w:rFonts w:ascii="仿宋" w:hAnsi="仿宋" w:eastAsia="仿宋" w:cs="仿宋"/>
                <w:color w:val="auto"/>
                <w:sz w:val="24"/>
                <w:highlight w:val="none"/>
              </w:rPr>
            </w:pPr>
            <w:r/>
            <w:bookmarkStart w:id="40" w:name="_Toc302967378"/>
            <w:r/>
            <w:bookmarkStart w:id="41" w:name="_Toc329009667"/>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30</w:t>
            </w:r>
            <w:r/>
          </w:p>
        </w:tc>
        <w:tc>
          <w:tcPr>
            <w:tcW w:w="1803" w:type="dxa"/>
            <w:vAlign w:val="center"/>
            <w:textDirection w:val="lrTb"/>
            <w:noWrap/>
          </w:tcPr>
          <w:p>
            <w:pPr>
              <w:pStyle w:val="1103"/>
              <w:jc w:val="center"/>
              <w:rPr>
                <w:rFonts w:ascii="仿宋" w:hAnsi="仿宋" w:eastAsia="仿宋"/>
                <w:color w:val="auto"/>
                <w:sz w:val="24"/>
                <w:highlight w:val="none"/>
                <w:lang w:val="en-GB"/>
              </w:rPr>
            </w:pPr>
            <w:r>
              <w:rPr>
                <w:rFonts w:ascii="仿宋" w:hAnsi="仿宋" w:eastAsia="仿宋"/>
                <w:color w:val="auto"/>
                <w:sz w:val="24"/>
                <w:highlight w:val="none"/>
                <w:lang w:val="en-GB"/>
              </w:rPr>
              <w:t xml:space="preserve">其他说明</w:t>
            </w:r>
            <w:r/>
          </w:p>
        </w:tc>
        <w:tc>
          <w:tcPr>
            <w:tcW w:w="6641" w:type="dxa"/>
            <w:vAlign w:val="center"/>
            <w:textDirection w:val="lrTb"/>
            <w:noWrap/>
          </w:tcPr>
          <w:p>
            <w:pPr>
              <w:pStyle w:val="1104"/>
              <w:spacing w:line="240" w:lineRule="auto"/>
              <w:rPr>
                <w:rFonts w:ascii="仿宋" w:hAnsi="仿宋" w:eastAsia="仿宋" w:cs="仿宋"/>
                <w:color w:val="auto"/>
                <w:highlight w:val="none"/>
                <w:lang w:val="en-GB"/>
              </w:rPr>
            </w:pPr>
            <w:r>
              <w:rPr>
                <w:rFonts w:hint="eastAsia" w:ascii="仿宋" w:hAnsi="仿宋" w:eastAsia="仿宋" w:cs="仿宋"/>
                <w:color w:val="auto"/>
                <w:highlight w:val="none"/>
                <w:lang w:val="en-GB"/>
              </w:rPr>
              <w:t xml:space="preserve">1、中标单位在领取中标通知书时需提供叁份纸质投标文件（一正二副）和壹份电子版投标文件（以U盘为载体）；中标单位与采购单位签订合同后，及时向招标代理机构提供合同的扫描件以作备案。</w:t>
            </w:r>
            <w:r/>
          </w:p>
          <w:p>
            <w:pPr>
              <w:pStyle w:val="1104"/>
              <w:spacing w:line="240" w:lineRule="auto"/>
              <w:rPr>
                <w:rFonts w:ascii="仿宋" w:hAnsi="仿宋" w:eastAsia="仿宋" w:cs="仿宋"/>
                <w:color w:val="auto"/>
                <w:highlight w:val="none"/>
                <w:lang w:val="en-GB"/>
              </w:rPr>
            </w:pPr>
            <w:r>
              <w:rPr>
                <w:rFonts w:hint="eastAsia" w:ascii="仿宋" w:hAnsi="仿宋" w:eastAsia="仿宋" w:cs="仿宋"/>
                <w:color w:val="auto"/>
                <w:highlight w:val="none"/>
                <w:lang w:val="en-GB"/>
              </w:rPr>
              <w:t xml:space="preserve">2、本磋商文件与前附表相矛盾或冲突的部分以前附表为准，但采购需求中的要求优先执行，采购文件未明确的或与政府采购法及相关法律法规不一致的按法律法规执行；供应商在编制响应文件中，磋商文件中没有类似表格的，格式自拟。</w:t>
            </w:r>
            <w:r/>
          </w:p>
          <w:p>
            <w:pPr>
              <w:pStyle w:val="1104"/>
              <w:spacing w:line="240" w:lineRule="auto"/>
              <w:rPr>
                <w:rFonts w:ascii="仿宋" w:hAnsi="仿宋" w:eastAsia="仿宋" w:cs="仿宋"/>
                <w:color w:val="auto"/>
                <w:highlight w:val="none"/>
                <w:lang w:val="en-GB"/>
              </w:rPr>
            </w:pPr>
            <w:r>
              <w:rPr>
                <w:rFonts w:hint="eastAsia" w:ascii="仿宋" w:hAnsi="仿宋" w:eastAsia="仿宋" w:cs="仿宋"/>
                <w:color w:val="auto"/>
                <w:highlight w:val="none"/>
                <w:lang w:val="en-GB"/>
              </w:rPr>
              <w:t xml:space="preserve">3、如采购文件中涉及规范规程标准有更新的按最新更新文件执行。</w:t>
            </w:r>
            <w:r/>
          </w:p>
          <w:p>
            <w:pPr>
              <w:pStyle w:val="1103"/>
              <w:rPr>
                <w:color w:val="auto"/>
                <w:highlight w:val="none"/>
                <w:lang w:val="en-GB"/>
              </w:rPr>
            </w:pPr>
            <w:r>
              <w:rPr>
                <w:rFonts w:hint="eastAsia" w:ascii="仿宋" w:hAnsi="仿宋" w:eastAsia="仿宋"/>
                <w:b/>
                <w:bCs/>
                <w:color w:val="auto"/>
                <w:sz w:val="24"/>
                <w:highlight w:val="none"/>
              </w:rPr>
              <w:t xml:space="preserve">4、招标文件内容，如含有排除或限制市场竞争的内容，请与我单位反映。</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1.31</w:t>
            </w:r>
            <w:r/>
          </w:p>
        </w:tc>
        <w:tc>
          <w:tcPr>
            <w:tcW w:w="1803" w:type="dxa"/>
            <w:vAlign w:val="center"/>
            <w:textDirection w:val="lrTb"/>
            <w:noWrap/>
          </w:tcPr>
          <w:p>
            <w:pPr>
              <w:pStyle w:val="1103"/>
              <w:jc w:val="center"/>
              <w:rPr>
                <w:rFonts w:ascii="仿宋" w:hAnsi="仿宋" w:eastAsia="仿宋"/>
                <w:color w:val="auto"/>
                <w:sz w:val="24"/>
                <w:highlight w:val="none"/>
                <w:lang w:val="en-GB"/>
              </w:rPr>
            </w:pPr>
            <w:r>
              <w:rPr>
                <w:rFonts w:ascii="仿宋" w:hAnsi="仿宋" w:eastAsia="仿宋"/>
                <w:color w:val="auto"/>
                <w:sz w:val="24"/>
                <w:highlight w:val="none"/>
                <w:lang w:val="en-GB"/>
              </w:rPr>
              <w:t xml:space="preserve">财政政策</w:t>
            </w:r>
            <w:r/>
          </w:p>
        </w:tc>
        <w:tc>
          <w:tcPr>
            <w:tcW w:w="6641" w:type="dxa"/>
            <w:vAlign w:val="center"/>
            <w:textDirection w:val="lrTb"/>
            <w:noWrap/>
          </w:tcPr>
          <w:p>
            <w:pPr>
              <w:rPr>
                <w:rFonts w:ascii="仿宋" w:hAnsi="仿宋" w:eastAsia="仿宋" w:cs="仿宋"/>
                <w:color w:val="auto"/>
                <w:sz w:val="24"/>
                <w:highlight w:val="none"/>
                <w:lang w:val="en-GB"/>
              </w:rPr>
            </w:pPr>
            <w:r>
              <w:rPr>
                <w:rFonts w:ascii="MS Mincho" w:hAnsi="MS Mincho" w:cs="MS Mincho"/>
                <w:color w:val="auto"/>
                <w:sz w:val="24"/>
                <w:highlight w:val="none"/>
                <w:lang w:val="en-GB"/>
              </w:rPr>
              <w:t xml:space="preserve">☑</w:t>
            </w:r>
            <w:r>
              <w:rPr>
                <w:rFonts w:hint="eastAsia" w:ascii="仿宋" w:hAnsi="仿宋" w:eastAsia="仿宋" w:cs="仿宋"/>
                <w:color w:val="auto"/>
                <w:sz w:val="24"/>
                <w:highlight w:val="none"/>
                <w:lang w:val="en-GB"/>
              </w:rPr>
              <w:t xml:space="preserve">1、落实中小微企业政策：</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注：</w:t>
            </w:r>
            <w:bookmarkStart w:id="42" w:name="OLE_LINK79"/>
            <w:r/>
            <w:bookmarkStart w:id="43" w:name="OLE_LINK80"/>
            <w:r>
              <w:rPr>
                <w:rFonts w:hint="eastAsia" w:ascii="仿宋" w:hAnsi="仿宋" w:eastAsia="仿宋" w:cs="仿宋"/>
                <w:color w:val="auto"/>
                <w:sz w:val="24"/>
                <w:highlight w:val="none"/>
                <w:lang w:val="en-GB"/>
              </w:rPr>
              <w:t xml:space="preserve">中小微企业划分标准根据工信部联企业[2011]300号文和《国民经济行业分类》（GBT 4754—2017）规定，本项目采购标的所属行业为</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lang w:val="en-GB"/>
              </w:rPr>
              <w:t xml:space="preserve">其他未列明行业</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lang w:val="en-GB"/>
              </w:rPr>
              <w:t xml:space="preserve">。</w:t>
            </w:r>
            <w:bookmarkEnd w:id="42"/>
            <w:r/>
            <w:bookmarkEnd w:id="43"/>
            <w:r/>
            <w:r/>
          </w:p>
          <w:p>
            <w:pPr>
              <w:rPr>
                <w:rFonts w:ascii="仿宋" w:hAnsi="仿宋" w:eastAsia="仿宋" w:cs="Arial"/>
                <w:color w:val="auto"/>
                <w:sz w:val="24"/>
                <w:highlight w:val="none"/>
                <w:lang w:val="en-GB"/>
              </w:rPr>
            </w:pPr>
            <w:r>
              <w:rPr>
                <w:rFonts w:ascii="MS Mincho" w:hAnsi="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本项目仅面向中小微企业（监狱企业、残疾人福利性单位视同中小微企业）。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供应商应为中小微企业，监狱企业、残疾人福利性单位视同中小微企业，并提供相应申明函。</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本项目小微型企业价格扣除：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（4）残疾人福利单位、监狱企业属于小型、微型企业的，不重复享受政策。</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4%的价格扣除，用扣除后的价格参与评审。供应商须在联合体各方共同投标协议或分包协议中明确，否则不得享受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（6）联合体各方均为小型、微型企业的，联合体视同为小型、微型企业按规定享受价格扣除。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7）组成联合体的小微企业与联合体内其他企业之间存在直接控股、管理关系的，不享受价格扣除。组成联合体的法人与参加联合体的小型、微型企业之间存在投资关系的，不得享受价格扣除。供应商须在《联合体各方共同投标协议》中明确联合体各方是否存在上述关系，如未进行明确的亦不得享受价格扣除。</w:t>
            </w:r>
            <w:r/>
          </w:p>
          <w:p>
            <w:pPr>
              <w:rPr>
                <w:rFonts w:ascii="仿宋" w:hAnsi="仿宋" w:eastAsia="仿宋" w:cs="Arial"/>
                <w:color w:val="auto"/>
                <w:sz w:val="24"/>
                <w:highlight w:val="none"/>
                <w:lang w:val="en-GB"/>
              </w:rPr>
            </w:pPr>
            <w:r>
              <w:rPr>
                <w:rFonts w:ascii="仿宋" w:hAnsi="仿宋" w:eastAsia="仿宋" w:cs="Arial"/>
                <w:color w:val="auto"/>
                <w:sz w:val="24"/>
                <w:highlight w:val="none"/>
                <w:lang w:val="en-GB"/>
              </w:rPr>
              <w:t xml:space="preserve">上述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仿宋" w:hAnsi="仿宋" w:eastAsia="仿宋" w:cs="Arial"/>
                <w:color w:val="auto"/>
                <w:sz w:val="24"/>
                <w:highlight w:val="none"/>
                <w:lang w:val="en-GB"/>
              </w:rPr>
              <w:t xml:space="preserve">。</w:t>
            </w:r>
            <w:r>
              <w:rPr>
                <w:rFonts w:ascii="仿宋" w:hAnsi="仿宋" w:eastAsia="仿宋" w:cs="Arial"/>
                <w:color w:val="auto"/>
                <w:sz w:val="24"/>
                <w:highlight w:val="none"/>
                <w:lang w:val="en-GB"/>
              </w:rPr>
              <w:t xml:space="preserve">残疾人福利单是指享受政府采购支持政策的残疾人福利性单位应当同时满足以下条件：</w:t>
            </w:r>
            <w:r>
              <w:rPr>
                <w:rFonts w:hint="eastAsia" w:ascii="仿宋" w:hAnsi="仿宋" w:eastAsia="仿宋" w:cs="Arial"/>
                <w:color w:val="auto"/>
                <w:sz w:val="24"/>
                <w:highlight w:val="none"/>
                <w:lang w:val="en-GB"/>
              </w:rPr>
              <w:t xml:space="preserve">1</w:t>
            </w:r>
            <w:r>
              <w:rPr>
                <w:rFonts w:ascii="仿宋" w:hAnsi="仿宋" w:eastAsia="仿宋" w:cs="Arial"/>
                <w:color w:val="auto"/>
                <w:sz w:val="24"/>
                <w:highlight w:val="none"/>
                <w:lang w:val="en-GB"/>
              </w:rPr>
              <w:t xml:space="preserve">安置的残疾人占本单位在职职工人数的比例不低于25%（含25%），并且安置的残疾人人数不少于10 人（含10 人）；</w:t>
            </w:r>
            <w:r>
              <w:rPr>
                <w:rFonts w:hint="eastAsia" w:ascii="仿宋" w:hAnsi="仿宋" w:eastAsia="仿宋" w:cs="Arial"/>
                <w:color w:val="auto"/>
                <w:sz w:val="24"/>
                <w:highlight w:val="none"/>
                <w:lang w:val="en-GB"/>
              </w:rPr>
              <w:t xml:space="preserve">2</w:t>
            </w:r>
            <w:r>
              <w:rPr>
                <w:rFonts w:ascii="仿宋" w:hAnsi="仿宋" w:eastAsia="仿宋" w:cs="Arial"/>
                <w:color w:val="auto"/>
                <w:sz w:val="24"/>
                <w:highlight w:val="none"/>
                <w:lang w:val="en-GB"/>
              </w:rPr>
              <w:t xml:space="preserve">依法与安置的每位残疾人签订了一年以上（含一年）的劳动合同或服务协议；</w:t>
            </w:r>
            <w:r>
              <w:rPr>
                <w:rFonts w:hint="eastAsia" w:ascii="仿宋" w:hAnsi="仿宋" w:eastAsia="仿宋" w:cs="Arial"/>
                <w:color w:val="auto"/>
                <w:sz w:val="24"/>
                <w:highlight w:val="none"/>
                <w:lang w:val="en-GB"/>
              </w:rPr>
              <w:t xml:space="preserve">3</w:t>
            </w:r>
            <w:r>
              <w:rPr>
                <w:rFonts w:ascii="仿宋" w:hAnsi="仿宋" w:eastAsia="仿宋" w:cs="Arial"/>
                <w:color w:val="auto"/>
                <w:sz w:val="24"/>
                <w:highlight w:val="none"/>
                <w:lang w:val="en-GB"/>
              </w:rPr>
              <w:t xml:space="preserve">为安置的每位残疾人按月足额缴纳了基本养老保险、基本医疗保险、失业保险、工伤保险和生育保险等社会保险费；</w:t>
            </w:r>
            <w:r>
              <w:rPr>
                <w:rFonts w:hint="eastAsia" w:ascii="仿宋" w:hAnsi="仿宋" w:eastAsia="仿宋" w:cs="Arial"/>
                <w:color w:val="auto"/>
                <w:sz w:val="24"/>
                <w:highlight w:val="none"/>
                <w:lang w:val="en-GB"/>
              </w:rPr>
              <w:t xml:space="preserve">4</w:t>
            </w:r>
            <w:r>
              <w:rPr>
                <w:rFonts w:ascii="仿宋" w:hAnsi="仿宋" w:eastAsia="仿宋" w:cs="Arial"/>
                <w:color w:val="auto"/>
                <w:sz w:val="24"/>
                <w:highlight w:val="none"/>
                <w:lang w:val="en-GB"/>
              </w:rPr>
              <w:t xml:space="preserve">通过银行等金融机构向安置的每位残疾人，按月支付了不低于单位所在区县适用的经省级人民政府批准的月最低工资标准的工资；</w:t>
            </w:r>
            <w:r>
              <w:rPr>
                <w:rFonts w:hint="eastAsia" w:ascii="仿宋" w:hAnsi="仿宋" w:eastAsia="仿宋" w:cs="Arial"/>
                <w:color w:val="auto"/>
                <w:sz w:val="24"/>
                <w:highlight w:val="none"/>
                <w:lang w:val="en-GB"/>
              </w:rPr>
              <w:t xml:space="preserve">5</w:t>
            </w:r>
            <w:r>
              <w:rPr>
                <w:rFonts w:ascii="仿宋" w:hAnsi="仿宋" w:eastAsia="仿宋" w:cs="Arial"/>
                <w:color w:val="auto"/>
                <w:sz w:val="24"/>
                <w:highlight w:val="none"/>
                <w:lang w:val="en-GB"/>
              </w:rPr>
              <w:t xml:space="preserve">提供本单位制造的货物、承担的工程或者服务（以下简称产品），或者提供其他残疾人福利性单位制造的货物（不包括使用非残疾人福利性单位注册商标的货物）；</w:t>
            </w:r>
            <w:r>
              <w:rPr>
                <w:rFonts w:hint="eastAsia" w:ascii="仿宋" w:hAnsi="仿宋" w:eastAsia="仿宋" w:cs="Arial"/>
                <w:color w:val="auto"/>
                <w:sz w:val="24"/>
                <w:highlight w:val="none"/>
                <w:lang w:val="en-GB"/>
              </w:rPr>
              <w:t xml:space="preserve">6</w:t>
            </w:r>
            <w:r>
              <w:rPr>
                <w:rFonts w:ascii="仿宋" w:hAnsi="仿宋" w:eastAsia="仿宋" w:cs="Arial"/>
                <w:color w:val="auto"/>
                <w:sz w:val="24"/>
                <w:highlight w:val="none"/>
                <w:lang w:val="en-GB"/>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2、落实政府采购节能产品、环境标志产品要求：</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若本项目涉及采购节能产品、环境标志产品，按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如本项目采购产品属于实施政府强制采购品目清单范围的节能产品，则投标人所报产品必须获得国家确定的认证机构出具的、处于有效期之内的节能产品认证证书，否则投标无效；</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非政府强制采购的节能产品或环境标志产品，依据品目清单和认证证书实施政府优先采购。优先采购的具体规定见第十二章《评标办法》（如涉及）。</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3、落实商品包装、快递包装要求：</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财政部就联合生态环境部、国家邮政局三部门对外发布《关于印发&lt;商品包装政府采购需求标准（试行）&gt;、&lt;快递包装政府采购需求标准（试行）&gt;的通知》（财办库〔2020〕123号），对于项目中所涉及商品和快递包装的，参考招标文件中的项目需求对产品进行绿色包装。</w:t>
            </w:r>
            <w:bookmarkStart w:id="44" w:name="OLE_LINK29"/>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4、</w:t>
            </w:r>
            <w:r>
              <w:rPr>
                <w:rFonts w:ascii="仿宋" w:hAnsi="仿宋" w:eastAsia="仿宋" w:cs="Arial"/>
                <w:color w:val="auto"/>
                <w:sz w:val="24"/>
                <w:highlight w:val="none"/>
                <w:lang w:val="en-GB"/>
              </w:rPr>
              <w:t xml:space="preserve">支持乡村产业振兴管理</w:t>
            </w:r>
            <w:r/>
          </w:p>
          <w:p>
            <w:pPr>
              <w:rPr>
                <w:rFonts w:ascii="仿宋" w:hAnsi="仿宋" w:eastAsia="仿宋" w:cs="Arial"/>
                <w:color w:val="auto"/>
                <w:sz w:val="24"/>
                <w:highlight w:val="none"/>
                <w:lang w:val="en-GB"/>
              </w:rPr>
            </w:pPr>
            <w:r>
              <w:rPr>
                <w:rFonts w:ascii="仿宋" w:hAnsi="仿宋" w:eastAsia="仿宋" w:cs="Arial"/>
                <w:color w:val="auto"/>
                <w:sz w:val="24"/>
                <w:highlight w:val="none"/>
                <w:lang w:val="en-GB"/>
              </w:rPr>
              <w:t xml:space="preserve">为落实《关于运用政府采购政策支持乡村产业振兴的通知》（财库〔2021〕19号）有关要求，做好支持脱贫攻坚工作，本项目采购活动中对于支持乡村振兴管理的相关要求见第十一章《采购需求》（如涉及）。</w:t>
            </w:r>
            <w:r/>
          </w:p>
          <w:p>
            <w:pPr>
              <w:rPr>
                <w:rFonts w:ascii="仿宋" w:hAnsi="仿宋" w:cs="Arial" w:eastAsiaTheme="minorEastAsia"/>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5</w:t>
            </w:r>
            <w:r>
              <w:rPr>
                <w:rFonts w:hint="eastAsia" w:ascii="仿宋" w:hAnsi="仿宋" w:eastAsia="仿宋" w:cs="Arial"/>
                <w:color w:val="auto"/>
                <w:sz w:val="24"/>
                <w:highlight w:val="none"/>
                <w:lang w:val="en-GB"/>
              </w:rPr>
              <w:t xml:space="preserve">、</w:t>
            </w:r>
            <w:r>
              <w:rPr>
                <w:rFonts w:hint="eastAsia" w:ascii="仿宋" w:hAnsi="仿宋" w:eastAsia="仿宋"/>
                <w:color w:val="auto"/>
                <w:sz w:val="24"/>
                <w:highlight w:val="none"/>
              </w:rPr>
              <w:t xml:space="preserve">落实政府采购中实施本国产品标准及相关政策</w:t>
            </w:r>
            <w:r/>
          </w:p>
          <w:p>
            <w:pPr>
              <w:rPr>
                <w:rFonts w:ascii="仿宋" w:hAnsi="仿宋" w:eastAsia="仿宋" w:cs="Arial"/>
                <w:color w:val="auto"/>
                <w:sz w:val="24"/>
                <w:highlight w:val="none"/>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本项目仅面向本国产品</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国务院办公厅关于在政府采购中实施本国产品标准及相关政策的通知（国办发〔2025〕34号），供应商为该采购项目提供的符合本国产品标准的产品成本之和占该供应商提供的全部产品成本之和的比例达到80%以上。</w:t>
            </w:r>
            <w:r>
              <w:rPr>
                <w:rFonts w:hint="eastAsia" w:ascii="仿宋" w:hAnsi="仿宋" w:eastAsia="仿宋" w:cs="Arial"/>
                <w:color w:val="auto"/>
                <w:sz w:val="24"/>
                <w:highlight w:val="none"/>
              </w:rPr>
              <w:t xml:space="preserve">须</w:t>
            </w:r>
            <w:r>
              <w:rPr>
                <w:rFonts w:hint="eastAsia" w:ascii="仿宋" w:hAnsi="仿宋" w:eastAsia="仿宋" w:cs="Arial"/>
                <w:color w:val="auto"/>
                <w:sz w:val="24"/>
                <w:highlight w:val="none"/>
                <w:lang w:val="en-GB"/>
              </w:rPr>
              <w:t xml:space="preserve">提供相应申明函。</w:t>
            </w:r>
            <w:r/>
          </w:p>
          <w:p>
            <w:pPr>
              <w:rPr>
                <w:rFonts w:ascii="仿宋" w:hAnsi="仿宋" w:eastAsia="仿宋" w:cs="Arial"/>
                <w:color w:val="auto"/>
                <w:sz w:val="24"/>
                <w:highlight w:val="none"/>
                <w:lang w:val="en-GB"/>
              </w:rPr>
            </w:pPr>
            <w:r/>
            <w:bookmarkStart w:id="45" w:name="OLE_LINK4"/>
            <w:r/>
            <w:bookmarkStart w:id="46" w:name="OLE_LINK5"/>
            <w:r/>
            <w:bookmarkStart w:id="47" w:name="OLE_LINK28"/>
            <w:r>
              <w:rPr>
                <w:rFonts w:hint="eastAsia" w:ascii="MS Mincho" w:hAnsi="MS Mincho" w:eastAsia="MS Mincho" w:cs="MS Mincho"/>
                <w:color w:val="auto"/>
                <w:sz w:val="24"/>
                <w:highlight w:val="none"/>
                <w:lang w:val="en-GB"/>
              </w:rPr>
              <w:t xml:space="preserve">☒</w:t>
            </w:r>
            <w:bookmarkEnd w:id="45"/>
            <w:r/>
            <w:bookmarkEnd w:id="46"/>
            <w:r>
              <w:rPr>
                <w:rFonts w:hint="eastAsia" w:ascii="仿宋" w:hAnsi="仿宋" w:eastAsia="仿宋" w:cs="Arial"/>
                <w:color w:val="auto"/>
                <w:sz w:val="24"/>
                <w:highlight w:val="none"/>
                <w:lang w:val="en-GB"/>
              </w:rPr>
              <w:t xml:space="preserve">本项目</w:t>
            </w:r>
            <w:r>
              <w:rPr>
                <w:rFonts w:hint="eastAsia" w:ascii="仿宋" w:hAnsi="仿宋" w:eastAsia="仿宋" w:cs="Arial"/>
                <w:color w:val="auto"/>
                <w:sz w:val="24"/>
                <w:highlight w:val="none"/>
              </w:rPr>
              <w:t xml:space="preserve">本国产品</w:t>
            </w:r>
            <w:r>
              <w:rPr>
                <w:rFonts w:hint="eastAsia" w:ascii="仿宋" w:hAnsi="仿宋" w:eastAsia="仿宋" w:cs="Arial"/>
                <w:color w:val="auto"/>
                <w:sz w:val="24"/>
                <w:highlight w:val="none"/>
                <w:lang w:val="en-GB"/>
              </w:rPr>
              <w:t xml:space="preserve">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w:t>
            </w:r>
            <w:r>
              <w:rPr>
                <w:rFonts w:hint="eastAsia" w:ascii="仿宋" w:hAnsi="仿宋" w:eastAsia="仿宋" w:cs="Arial"/>
                <w:color w:val="auto"/>
                <w:sz w:val="24"/>
                <w:highlight w:val="none"/>
              </w:rPr>
              <w:t xml:space="preserve">1</w:t>
            </w:r>
            <w:r>
              <w:rPr>
                <w:rFonts w:hint="eastAsia" w:ascii="仿宋" w:hAnsi="仿宋" w:eastAsia="仿宋" w:cs="Arial"/>
                <w:color w:val="auto"/>
                <w:sz w:val="24"/>
                <w:highlight w:val="none"/>
                <w:lang w:val="en-GB"/>
              </w:rPr>
              <w:t xml:space="preserve">）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w:t>
            </w:r>
            <w:r>
              <w:rPr>
                <w:rFonts w:hint="eastAsia" w:ascii="仿宋" w:hAnsi="仿宋" w:eastAsia="仿宋" w:cs="Arial"/>
                <w:color w:val="auto"/>
                <w:sz w:val="24"/>
                <w:highlight w:val="none"/>
              </w:rPr>
              <w:t xml:space="preserve">2</w:t>
            </w:r>
            <w:r>
              <w:rPr>
                <w:rFonts w:hint="eastAsia" w:ascii="仿宋" w:hAnsi="仿宋" w:eastAsia="仿宋" w:cs="Arial"/>
                <w:color w:val="auto"/>
                <w:sz w:val="24"/>
                <w:highlight w:val="none"/>
                <w:lang w:val="en-GB"/>
              </w:rPr>
              <w:t xml:space="preserve">）当采购项目或者采购包的采购标的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bookmarkEnd w:id="44"/>
            <w:r/>
            <w:bookmarkEnd w:id="47"/>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6</w:t>
            </w:r>
            <w:r>
              <w:rPr>
                <w:rFonts w:hint="eastAsia" w:ascii="仿宋" w:hAnsi="仿宋" w:eastAsia="仿宋" w:cs="Arial"/>
                <w:color w:val="auto"/>
                <w:sz w:val="24"/>
                <w:highlight w:val="none"/>
                <w:lang w:val="en-GB"/>
              </w:rPr>
              <w:t xml:space="preserve">、绿色数据中心政府采购：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本项目中如有涉及采购数据中心相关设备、运维服务的，应当按《关于印发〈绿色数据中心政府采购需求标准（试行）〉的通知》（财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7</w:t>
            </w:r>
            <w:r>
              <w:rPr>
                <w:rFonts w:hint="eastAsia" w:ascii="仿宋" w:hAnsi="仿宋" w:eastAsia="仿宋" w:cs="Arial"/>
                <w:color w:val="auto"/>
                <w:sz w:val="24"/>
                <w:highlight w:val="none"/>
                <w:lang w:val="en-GB"/>
              </w:rPr>
              <w:t xml:space="preserve">、“政采贷”：</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根据招标公告“政采贷”指引条款。中标、成交供应商可采用合同融资形式，中标人可凭政府采购合同办理融资贷款，详见江苏省政府采购网“政采贷”专栏。</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、履约担保：</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.1履约担保，是指由专业担保机构为中标、成交供应商支付履约保证金的义务向采购人提供的保函担保。专业担保机构根据中标、成交供应商的中标（成交）通知书为凭据，进行资信审查后出具保函,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.2根据招标公告电子履约保函（保险）指引条款。中标、成交供应商可以采用电子履约保函（保险）形式，具体操作可登录江苏政府采购网的保险保函模块进行办理（首次使用需注册）。</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9</w:t>
            </w:r>
            <w:r>
              <w:rPr>
                <w:rFonts w:hint="eastAsia" w:ascii="仿宋" w:hAnsi="仿宋" w:eastAsia="仿宋" w:cs="Arial"/>
                <w:color w:val="auto"/>
                <w:sz w:val="24"/>
                <w:highlight w:val="none"/>
                <w:lang w:val="en-GB"/>
              </w:rPr>
              <w:t xml:space="preserve">、七种软硬件履约管理：</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本项目中如有涉及数据库、操作系</w:t>
            </w:r>
            <w:r>
              <w:rPr>
                <w:rFonts w:hint="eastAsia" w:ascii="仿宋" w:hAnsi="仿宋" w:eastAsia="仿宋" w:cs="Arial"/>
                <w:color w:val="auto"/>
                <w:sz w:val="24"/>
                <w:highlight w:val="none"/>
                <w:lang w:val="en-GB"/>
              </w:rPr>
              <w:t xml:space="preserve">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供应商应满足招标文件要求。采购人可在合同中约定，在履约验收管理时，可对所提供的七种软硬件进行验收，必要时可以委托依法取得检测、认证资质的机构进行检测、认证。</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、合同特别提醒：</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1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2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.3采购人原则上应当自收到发票后10个工作日内将资金支付到合同约定的供应商账户。</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11</w:t>
            </w:r>
            <w:r>
              <w:rPr>
                <w:rFonts w:hint="eastAsia" w:ascii="仿宋" w:hAnsi="仿宋" w:eastAsia="仿宋" w:cs="Arial"/>
                <w:color w:val="auto"/>
                <w:sz w:val="24"/>
                <w:highlight w:val="none"/>
                <w:lang w:val="en-GB"/>
              </w:rPr>
              <w:t xml:space="preserve">、绿色采购：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要综合考虑节能环保、节水、循环再生、低碳、有机等因素，参考相关国家标准、行业标准或团体标准，在采购需求中提出相关绿色采购要求。</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12、</w:t>
            </w:r>
            <w:r>
              <w:rPr>
                <w:rFonts w:ascii="仿宋" w:hAnsi="仿宋" w:eastAsia="仿宋" w:cs="Arial"/>
                <w:color w:val="auto"/>
                <w:sz w:val="24"/>
                <w:highlight w:val="none"/>
                <w:lang w:val="en-GB"/>
              </w:rPr>
              <w:t xml:space="preserve">正版软件</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12.1</w:t>
            </w:r>
            <w:r>
              <w:rPr>
                <w:rFonts w:ascii="仿宋" w:hAnsi="仿宋" w:eastAsia="仿宋" w:cs="Arial"/>
                <w:color w:val="auto"/>
                <w:sz w:val="24"/>
                <w:highlight w:val="none"/>
                <w:lang w:val="en-GB"/>
              </w:rPr>
              <w:t xml:space="preserve">依据《财政部 国家发展改革委 信息产业部关于印发无线局域网产品政府采购实施意见的通知》（财库〔2005〕366 号），采购无线局域网产品和含有无线局域网功能的计算机、通信设备、打印</w:t>
            </w:r>
            <w:r>
              <w:rPr>
                <w:rFonts w:ascii="仿宋" w:hAnsi="仿宋" w:eastAsia="仿宋" w:cs="Arial"/>
                <w:color w:val="auto"/>
                <w:sz w:val="24"/>
                <w:highlight w:val="none"/>
                <w:lang w:val="en-GB"/>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12.2</w:t>
            </w:r>
            <w:r>
              <w:rPr>
                <w:rFonts w:ascii="仿宋" w:hAnsi="仿宋" w:eastAsia="仿宋" w:cs="Arial"/>
                <w:color w:val="auto"/>
                <w:sz w:val="24"/>
                <w:highlight w:val="none"/>
                <w:lang w:val="en-GB"/>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13、政府采购创新产品政策</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、服务类项目服务人员规定：</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1供应商必须执行《民法典》、省级、地级市及本市有关政策规定及本招标文件配置工作人员数量，并支付工资、国假加班费和交纳正常社会保险，不得安排工作人员超时限加班，未能按以上要求编制投标文件和报价的将作无效标处理。</w:t>
            </w:r>
            <w:r/>
          </w:p>
          <w:p>
            <w:pPr>
              <w:rPr>
                <w:rFonts w:ascii="仿宋" w:hAnsi="仿宋" w:eastAsia="仿宋" w:cs="仿宋"/>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2员工配备须提供社保证明，根据关于印发《政府采购促进中小企业发展管理办法》的通知（财库〔2020〕46号）第四条规定，在服务采购项目中，服务由中小企业承接，即提供服务的人员为中小企业依照《中华人民共和国劳动合同法》订立劳动合同的从业人员。在服务采购项目中，服务由中小企业承接，即提供服务的人员为中小企业依照《中华人民共和国民法典》订立劳动合同的从业人员。</w:t>
            </w:r>
            <w:r>
              <w:rPr>
                <w:rFonts w:hint="eastAsia" w:ascii="仿宋" w:hAnsi="仿宋" w:eastAsia="仿宋" w:cs="Arial"/>
                <w:color w:val="auto"/>
                <w:sz w:val="24"/>
                <w:highlight w:val="none"/>
                <w:u w:val="single"/>
                <w:lang w:val="en-GB"/>
              </w:rPr>
              <w:t xml:space="preserve">服务类项目中供应商若使用退休人员等未采用订立劳动合同的从业人员服务，将不享受相应扶持政策。</w:t>
            </w:r>
            <w:r/>
          </w:p>
        </w:tc>
      </w:tr>
    </w:tbl>
    <w:p>
      <w:pPr>
        <w:pStyle w:val="1151"/>
        <w:spacing w:line="300" w:lineRule="auto"/>
        <w:rPr>
          <w:rFonts w:ascii="仿宋" w:hAnsi="仿宋" w:eastAsia="仿宋" w:cs="仿宋"/>
          <w:b/>
          <w:bCs/>
          <w:color w:val="auto"/>
          <w:sz w:val="28"/>
          <w:szCs w:val="28"/>
          <w:highlight w:val="none"/>
          <w:lang w:val="en-GB"/>
        </w:rPr>
      </w:pPr>
      <w:r>
        <w:rPr>
          <w:rFonts w:hint="eastAsia" w:ascii="仿宋" w:hAnsi="仿宋" w:eastAsia="仿宋" w:cs="仿宋"/>
          <w:b/>
          <w:bCs/>
          <w:color w:val="auto"/>
          <w:sz w:val="28"/>
          <w:szCs w:val="28"/>
          <w:highlight w:val="none"/>
        </w:rPr>
        <w:t xml:space="preserve">2</w:t>
      </w:r>
      <w:r>
        <w:rPr>
          <w:rFonts w:hint="eastAsia" w:ascii="仿宋" w:hAnsi="仿宋" w:eastAsia="仿宋" w:cs="仿宋"/>
          <w:b/>
          <w:bCs/>
          <w:color w:val="auto"/>
          <w:sz w:val="28"/>
          <w:szCs w:val="28"/>
          <w:highlight w:val="none"/>
          <w:lang w:val="en-GB"/>
        </w:rPr>
        <w:t xml:space="preserve">.适用范围</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本磋商文件仅适用于本磋商项目。</w:t>
      </w:r>
      <w:r/>
    </w:p>
    <w:p>
      <w:pPr>
        <w:pStyle w:val="1101"/>
        <w:numPr>
          <w:ilvl w:val="0"/>
          <w:numId w:val="0"/>
        </w:numPr>
        <w:spacing w:before="0" w:after="0"/>
        <w:rPr>
          <w:rFonts w:ascii="仿宋" w:hAnsi="仿宋" w:eastAsia="仿宋" w:cs="仿宋"/>
          <w:color w:val="auto"/>
          <w:sz w:val="28"/>
          <w:szCs w:val="28"/>
          <w:highlight w:val="none"/>
          <w:lang w:val="en-GB"/>
        </w:rPr>
      </w:pPr>
      <w:r/>
      <w:bookmarkStart w:id="48" w:name="_Toc302967373"/>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GB"/>
        </w:rPr>
        <w:t xml:space="preserve">. 定义</w:t>
      </w:r>
      <w:bookmarkEnd w:id="48"/>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3.1 竞争性磋商——是指采购人、代理机构通过组建竞争性磋商小组与符合条件的供应商就采购货物、工程和服务事宜进行磋商。</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.2 招标代理机构——见供应商须知前附表。</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.3 监督人——是指</w:t>
      </w:r>
      <w:r>
        <w:rPr>
          <w:rFonts w:hint="eastAsia" w:ascii="仿宋" w:hAnsi="仿宋" w:eastAsia="仿宋" w:cs="仿宋"/>
          <w:color w:val="auto"/>
          <w:sz w:val="24"/>
          <w:highlight w:val="none"/>
        </w:rPr>
        <w:t xml:space="preserve">靖江市政府采购管理办公室</w:t>
      </w:r>
      <w:r>
        <w:rPr>
          <w:rFonts w:hint="eastAsia" w:ascii="仿宋" w:hAnsi="仿宋" w:eastAsia="仿宋" w:cs="仿宋"/>
          <w:color w:val="auto"/>
          <w:sz w:val="24"/>
          <w:highlight w:val="none"/>
          <w:lang w:val="en-GB"/>
        </w:rPr>
        <w:t xml:space="preserve">。</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.4 供应商（卖方）——</w:t>
      </w:r>
      <w:r>
        <w:rPr>
          <w:rFonts w:hint="eastAsia" w:ascii="仿宋" w:hAnsi="仿宋" w:eastAsia="仿宋" w:cs="仿宋"/>
          <w:color w:val="auto"/>
          <w:sz w:val="24"/>
          <w:highlight w:val="none"/>
          <w:lang w:val="zh-CN"/>
        </w:rPr>
        <w:t xml:space="preserve">是指</w:t>
      </w:r>
      <w:r>
        <w:rPr>
          <w:rFonts w:hint="eastAsia" w:ascii="仿宋" w:hAnsi="仿宋" w:eastAsia="仿宋" w:cs="仿宋"/>
          <w:color w:val="auto"/>
          <w:sz w:val="24"/>
          <w:highlight w:val="none"/>
        </w:rPr>
        <w:t xml:space="preserve">响应磋商且符合磋商文件规定的资格条件和参加磋商的竞争的法人、其他组织或者自然人。</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5磋商小组——系指根据《中华人民共和国政府采购法》以及相关法律法规以及规定，由采购人代表和有关专家组成以确定成交供应商或者推荐中标候选人的临时组织。磋商小组由采购人代表和评审专家共3人以上单数组成，其中评审专家人数不得少于磋商小组成员总数的2/3。采购人代表不得以评审专家身份参加本部门或本单位采购项目的评审。采购代理机构人员不得参加者本机构代理的采购项目的评审。</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.6成交供应商——系指通过竞争性磋商，供应商按照磋商文件的要求提交响应文件，采购人从磋商小组评审后提出的候选供应商名单中确定成交供应商的采购方式。</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.7 服务——是指根据本磋商文件规定，供应商必须承担的制造、运输、吊拉、安装、调试、技术协助、培训及其他各项义务。</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.8综合评分法——是指响应文件满足磋商文件全部实质性要求且按评审因素的量化指标评审得分最高的供应商为成交候选供应商的评审方法。</w:t>
      </w:r>
      <w:r/>
    </w:p>
    <w:p>
      <w:pPr>
        <w:pStyle w:val="1101"/>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val="en-GB"/>
        </w:rPr>
        <w:t xml:space="preserve">. 招标依据以及原则</w:t>
      </w:r>
      <w:r/>
    </w:p>
    <w:p>
      <w:pPr>
        <w:ind w:firstLine="480"/>
        <w:spacing w:line="300" w:lineRule="auto"/>
        <w:rPr>
          <w:rFonts w:ascii="仿宋" w:hAnsi="仿宋" w:eastAsia="仿宋" w:cs="仿宋"/>
          <w:color w:val="auto"/>
          <w:sz w:val="24"/>
          <w:highlight w:val="none"/>
          <w:lang w:val="zh-CN"/>
        </w:rPr>
      </w:pPr>
      <w:r/>
      <w:bookmarkStart w:id="49" w:name="_Toc302967374"/>
      <w:r>
        <w:rPr>
          <w:rFonts w:hint="eastAsia" w:ascii="仿宋" w:hAnsi="仿宋" w:eastAsia="仿宋" w:cs="仿宋"/>
          <w:color w:val="auto"/>
          <w:sz w:val="24"/>
          <w:highlight w:val="none"/>
          <w:lang w:val="zh-CN"/>
        </w:rPr>
        <w:t xml:space="preserve">（1）《中华人民共和国政府采购法》；</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（2）《中华人民共和国政府采购法实施条例》；</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（3）《中华人民共和国民法典》；</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（4）《电子招标投标办法》；</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（5）《政府采购竞争性磋商采购方式管理办法》（财库214号）；</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（6）《政府采购质疑和投诉办法》（财政部第94号令）；</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（7）</w:t>
      </w:r>
      <w:r>
        <w:rPr>
          <w:rFonts w:hint="eastAsia" w:ascii="仿宋" w:hAnsi="仿宋" w:eastAsia="仿宋" w:cs="仿宋"/>
          <w:color w:val="auto"/>
          <w:sz w:val="24"/>
          <w:highlight w:val="none"/>
        </w:rPr>
        <w:t xml:space="preserve">《政府采购需求管理办法》财库〔2021〕22号；</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（8）其他有关法律、行政法规以及省市规范性文件规定。</w:t>
      </w:r>
      <w:r/>
    </w:p>
    <w:p>
      <w:pPr>
        <w:pStyle w:val="1101"/>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5</w:t>
      </w:r>
      <w:r>
        <w:rPr>
          <w:rFonts w:hint="eastAsia" w:ascii="仿宋" w:hAnsi="仿宋" w:eastAsia="仿宋" w:cs="仿宋"/>
          <w:color w:val="auto"/>
          <w:sz w:val="28"/>
          <w:szCs w:val="28"/>
          <w:highlight w:val="none"/>
          <w:lang w:val="en-GB"/>
        </w:rPr>
        <w:t xml:space="preserve">. 合格的供应商</w:t>
      </w:r>
      <w:bookmarkEnd w:id="49"/>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GB"/>
        </w:rPr>
        <w:t xml:space="preserve">.1符合《中华人民共和国政府采购法》第二十二条规定的条件；</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GB"/>
        </w:rPr>
        <w:t xml:space="preserve">.2符合本磋商文件规定的资格要求，并按照要求提供相关证明材料；</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GB"/>
        </w:rPr>
        <w:t xml:space="preserve">.3法定代表人为同一个人的两个以及两个以上法人，母公司、全资子公司以及其控股公司或者存在管理关系的不同单位，都不得在同一标段或者未划分标段的同一磋商项目同时响应； </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GB"/>
        </w:rPr>
        <w:t xml:space="preserve">.4磋商文件中带“★”条款为实质性条款，供应商必须按照磋商文件的要求做出实质性响应，否则响应无效；</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GB"/>
        </w:rPr>
        <w:t xml:space="preserve">.5供应商提供的证明材料内容必须真实可靠。</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5.6以联合体形式投标的，应符合以下规定：</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5.6.1联合体各方应按照招标文件提供的格式签订联合体协议书，明确联合体牵头人和各方权利义务；</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5.6.2联合体各方均应当符合政府采购法第二十二条规定的条件；</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5.6.3联合体各方中至少应当有一方符合采购人规定的资格要求。由同一资质条件的供应商组成的联合体，应当按照资质较低的供应商确定联合体的资质等级；</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5.6.4联合体各方不得再以自己名义单独在同一项目中投标，也不得组成新的联合体参加同一项目投标。</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5.6.5联合体各方应当共同与采购人签订采购合同，就合同约定的事项对采购人承担连带责任；</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5.7招标文件中带“★”条款为实质性条款，供应商必须按照招标文件的要求做出实质性响应，否则投标无效。</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5.8招标文件中带“※”标注的产品为供应商开标时必须提供的样品。开标时未提供样品、提供样品不全或者未送至指定地点的，其投标无效。</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5.9除采购人拟采购进口产品通过财政部门审核外，供应商不得提供直接进口或者委托进口产品（包括已进入中国境内的进口产品）。</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5.10供应商不得直接或者间接地与采购人为本次招标的服务进行设计、编制规范和其他文件所委托的咨询公司或者其附属机构有任何关联。</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5.11供应商提供的证明材料内容必须真实可靠。</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5.12符合上述条件的供应商即为合格供应商，具有参与竞争性磋商的资格。</w:t>
      </w:r>
      <w:r/>
    </w:p>
    <w:p>
      <w:pPr>
        <w:pStyle w:val="1101"/>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6</w:t>
      </w:r>
      <w:r>
        <w:rPr>
          <w:rFonts w:hint="eastAsia" w:ascii="仿宋" w:hAnsi="仿宋" w:eastAsia="仿宋" w:cs="仿宋"/>
          <w:color w:val="auto"/>
          <w:sz w:val="28"/>
          <w:szCs w:val="28"/>
          <w:highlight w:val="none"/>
          <w:lang w:val="en-GB"/>
        </w:rPr>
        <w:t xml:space="preserve">.保密</w:t>
      </w:r>
      <w:r/>
    </w:p>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参与磋商响应活动的当事人应对磋商文件和响应文件中的商业和技术等秘密保密，违者应对由此造成的后果承担法律责任。 </w:t>
      </w:r>
      <w:r/>
    </w:p>
    <w:p>
      <w:pPr>
        <w:pStyle w:val="1101"/>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7</w:t>
      </w:r>
      <w:r>
        <w:rPr>
          <w:rFonts w:hint="eastAsia" w:ascii="仿宋" w:hAnsi="仿宋" w:eastAsia="仿宋" w:cs="仿宋"/>
          <w:color w:val="auto"/>
          <w:sz w:val="28"/>
          <w:szCs w:val="28"/>
          <w:highlight w:val="none"/>
          <w:lang w:val="en-GB"/>
        </w:rPr>
        <w:t xml:space="preserve">.语言文字以及度量衡单位</w:t>
      </w:r>
      <w:r/>
    </w:p>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en-GB"/>
        </w:rPr>
        <w:t xml:space="preserve">.1所有文件使用的语言文字为中文。专用术语使用外文的，应附有中文注释；</w:t>
      </w:r>
      <w:r/>
    </w:p>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en-GB"/>
        </w:rPr>
        <w:t xml:space="preserve">.2所有计量均采用中华人民共和国法定的计量单位。</w:t>
      </w:r>
      <w:r/>
    </w:p>
    <w:p>
      <w:pPr>
        <w:pStyle w:val="1101"/>
        <w:numPr>
          <w:ilvl w:val="0"/>
          <w:numId w:val="0"/>
        </w:numPr>
        <w:spacing w:before="0" w:after="0"/>
        <w:rPr>
          <w:rFonts w:ascii="仿宋" w:hAnsi="仿宋" w:eastAsia="仿宋" w:cs="仿宋"/>
          <w:color w:val="auto"/>
          <w:sz w:val="28"/>
          <w:szCs w:val="28"/>
          <w:highlight w:val="none"/>
          <w:lang w:val="en-GB"/>
        </w:rPr>
      </w:pPr>
      <w:r/>
      <w:bookmarkStart w:id="50" w:name="_Toc302967375"/>
      <w:r>
        <w:rPr>
          <w:rFonts w:hint="eastAsia" w:ascii="仿宋" w:hAnsi="仿宋" w:eastAsia="仿宋" w:cs="仿宋"/>
          <w:color w:val="auto"/>
          <w:sz w:val="28"/>
          <w:szCs w:val="28"/>
          <w:highlight w:val="none"/>
        </w:rPr>
        <w:t xml:space="preserve">8</w:t>
      </w:r>
      <w:r>
        <w:rPr>
          <w:rFonts w:hint="eastAsia" w:ascii="仿宋" w:hAnsi="仿宋" w:eastAsia="仿宋" w:cs="仿宋"/>
          <w:color w:val="auto"/>
          <w:sz w:val="28"/>
          <w:szCs w:val="28"/>
          <w:highlight w:val="none"/>
          <w:lang w:val="en-GB"/>
        </w:rPr>
        <w:t xml:space="preserve">. 踏勘现场</w:t>
      </w:r>
      <w:bookmarkEnd w:id="50"/>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8.1供应商须知前附表规定组织踏勘现场的，采购人按供应商须知前附表规定的时间、地点组织供应商踏勘项目现场，踏勘现场所发生的费用由供应商自己承担。</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8.2采购人向供应商提供的有关现场的资料和数据，是采购人现有的能使供应商利用的资料，采购人对供应商由此而做出的推论、理解和结论概不负责。</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8.3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101"/>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9</w:t>
      </w:r>
      <w:r>
        <w:rPr>
          <w:rFonts w:hint="eastAsia" w:ascii="仿宋" w:hAnsi="仿宋" w:eastAsia="仿宋" w:cs="仿宋"/>
          <w:color w:val="auto"/>
          <w:sz w:val="28"/>
          <w:szCs w:val="28"/>
          <w:highlight w:val="none"/>
          <w:lang w:val="en-GB"/>
        </w:rPr>
        <w:t xml:space="preserve">.偏离</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采购人允许响应文件偏离磋商文件某些非实质性要求的，偏离应当符合磋商文件规定的偏离范围和幅度，否则其响应无效。</w:t>
      </w:r>
      <w:r/>
    </w:p>
    <w:p>
      <w:pPr>
        <w:pStyle w:val="1101"/>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10</w:t>
      </w:r>
      <w:r>
        <w:rPr>
          <w:rFonts w:hint="eastAsia" w:ascii="仿宋" w:hAnsi="仿宋" w:eastAsia="仿宋" w:cs="仿宋"/>
          <w:color w:val="auto"/>
          <w:sz w:val="28"/>
          <w:szCs w:val="28"/>
          <w:highlight w:val="none"/>
          <w:lang w:val="en-GB"/>
        </w:rPr>
        <w:t xml:space="preserve">.履约保证金</w:t>
      </w:r>
      <w:r/>
    </w:p>
    <w:p>
      <w:pPr>
        <w:ind w:firstLine="556"/>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rPr>
        <w:t xml:space="preserve">本项目</w:t>
      </w:r>
      <w:r>
        <w:rPr>
          <w:rFonts w:hint="eastAsia" w:ascii="仿宋" w:hAnsi="仿宋" w:eastAsia="仿宋" w:cs="Arial"/>
          <w:color w:val="auto"/>
          <w:sz w:val="24"/>
          <w:highlight w:val="none"/>
          <w:lang w:val="en-GB"/>
        </w:rPr>
        <w:t xml:space="preserve">免收履约保证金。</w:t>
      </w:r>
      <w:r/>
    </w:p>
    <w:p>
      <w:pPr>
        <w:pStyle w:val="1101"/>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11</w:t>
      </w:r>
      <w:r>
        <w:rPr>
          <w:rFonts w:hint="eastAsia" w:ascii="仿宋" w:hAnsi="仿宋" w:eastAsia="仿宋" w:cs="仿宋"/>
          <w:color w:val="auto"/>
          <w:sz w:val="28"/>
          <w:szCs w:val="28"/>
          <w:highlight w:val="none"/>
          <w:lang w:val="en-GB"/>
        </w:rPr>
        <w:t xml:space="preserve">.</w:t>
      </w:r>
      <w:bookmarkStart w:id="51" w:name="_Toc302967376"/>
      <w:r>
        <w:rPr>
          <w:rFonts w:hint="eastAsia" w:ascii="仿宋" w:hAnsi="仿宋" w:eastAsia="仿宋" w:cs="仿宋"/>
          <w:color w:val="auto"/>
          <w:sz w:val="28"/>
          <w:szCs w:val="28"/>
          <w:highlight w:val="none"/>
          <w:lang w:val="en-GB"/>
        </w:rPr>
        <w:t xml:space="preserve">其他</w:t>
      </w:r>
      <w:bookmarkEnd w:id="51"/>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b/>
          <w:color w:val="auto"/>
          <w:sz w:val="24"/>
          <w:highlight w:val="none"/>
        </w:rPr>
        <w:t xml:space="preserve">11</w:t>
      </w:r>
      <w:r>
        <w:rPr>
          <w:rFonts w:hint="eastAsia" w:ascii="仿宋" w:hAnsi="仿宋" w:eastAsia="仿宋" w:cs="仿宋"/>
          <w:b/>
          <w:color w:val="auto"/>
          <w:sz w:val="24"/>
          <w:highlight w:val="none"/>
          <w:lang w:val="en-GB"/>
        </w:rPr>
        <w:t xml:space="preserve">.1供应商中标后直至验收止，成交供应商不得以任何形式和理由转包和分包（除前附表规定以外）。</w:t>
      </w:r>
      <w:r/>
    </w:p>
    <w:p>
      <w:pPr>
        <w:ind w:firstLine="482"/>
        <w:spacing w:line="300" w:lineRule="auto"/>
        <w:rPr>
          <w:rFonts w:ascii="仿宋" w:hAnsi="仿宋" w:eastAsia="仿宋" w:cs="仿宋"/>
          <w:color w:val="auto"/>
          <w:sz w:val="24"/>
          <w:highlight w:val="none"/>
          <w:lang w:val="en-GB"/>
        </w:rPr>
      </w:pPr>
      <w:r/>
      <w:bookmarkStart w:id="52" w:name="_Toc302967377"/>
      <w:r>
        <w:rPr>
          <w:rFonts w:hint="eastAsia" w:ascii="仿宋" w:hAnsi="仿宋" w:eastAsia="仿宋" w:cs="仿宋"/>
          <w:color w:val="auto"/>
          <w:sz w:val="24"/>
          <w:highlight w:val="none"/>
        </w:rPr>
        <w:t xml:space="preserve">11</w:t>
      </w:r>
      <w:r>
        <w:rPr>
          <w:rFonts w:hint="eastAsia" w:ascii="仿宋" w:hAnsi="仿宋" w:eastAsia="仿宋" w:cs="仿宋"/>
          <w:color w:val="auto"/>
          <w:sz w:val="24"/>
          <w:highlight w:val="none"/>
          <w:lang w:val="en-GB"/>
        </w:rPr>
        <w:t xml:space="preserve">.2磋商文件载明分包的，供应商应当在响应文件中载明。中标后需要分包的，采购人向财政部门提出书面申请并经批准后，成交供应商可依法采取分包方式履行合同，但分包金额不得超出采购限额，超出采购限额的，采购人应重新组织磋商。分包履行的，成交供应商和分包人与采购人共同签订分包合同，成交供应商和分包人就分包项目承担责任；分包履行合同实施前，采购人必须将分包情况和分包合同副本报同级财政部门和有关部门备案。</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11</w:t>
      </w:r>
      <w:r>
        <w:rPr>
          <w:rFonts w:hint="eastAsia" w:ascii="仿宋" w:hAnsi="仿宋" w:eastAsia="仿宋" w:cs="仿宋"/>
          <w:color w:val="auto"/>
          <w:sz w:val="24"/>
          <w:highlight w:val="none"/>
          <w:lang w:val="en-GB"/>
        </w:rPr>
        <w:t xml:space="preserve">.</w:t>
      </w: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除非有特殊要求，磋商文件不单独提供项目所在地的自然环境、气候条件、公用设施等情况，供应商被视为熟悉上述与履行合同有关的一切情况。</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11</w:t>
      </w:r>
      <w:r>
        <w:rPr>
          <w:rFonts w:hint="eastAsia" w:ascii="仿宋" w:hAnsi="仿宋" w:eastAsia="仿宋" w:cs="仿宋"/>
          <w:color w:val="auto"/>
          <w:sz w:val="24"/>
          <w:highlight w:val="none"/>
          <w:lang w:val="en-GB"/>
        </w:rPr>
        <w:t xml:space="preserve">.</w:t>
      </w: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en-GB"/>
        </w:rPr>
        <w:t xml:space="preserve">根据有关规定，凡有意参加本次磋商的各供应商请务必于规定时间内报名。否则，供应商将不能有效地进入磋商程序，由此引起的一切后果，供应商自负。</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11</w:t>
      </w:r>
      <w:r>
        <w:rPr>
          <w:rFonts w:hint="eastAsia" w:ascii="仿宋" w:hAnsi="仿宋" w:eastAsia="仿宋" w:cs="仿宋"/>
          <w:color w:val="auto"/>
          <w:sz w:val="24"/>
          <w:highlight w:val="none"/>
          <w:lang w:val="en-GB"/>
        </w:rPr>
        <w:t xml:space="preserve">.</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GB"/>
        </w:rPr>
        <w:t xml:space="preserve"> 不论中标与否，已领取磋商文件的供应商应对磋商文件负保密责任。参与竞争性磋商活动的各方应对磋商文件和响应文件中的商业和技术等秘密保密，违者应对由此造成的后果承担法律责任。</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11</w:t>
      </w:r>
      <w:r>
        <w:rPr>
          <w:rFonts w:hint="eastAsia" w:ascii="仿宋" w:hAnsi="仿宋" w:eastAsia="仿宋" w:cs="仿宋"/>
          <w:color w:val="auto"/>
          <w:sz w:val="24"/>
          <w:highlight w:val="none"/>
          <w:lang w:val="en-GB"/>
        </w:rPr>
        <w:t xml:space="preserve">.</w:t>
      </w: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en-GB"/>
        </w:rPr>
        <w:t xml:space="preserve">供应商应自行承担其准备和参加竞争性磋商活动发生的所有费用。不论响应结果如何，采购人及招标代理机构在任何情况下无义务也无责任承担这些费用。</w:t>
      </w:r>
      <w:r/>
    </w:p>
    <w:p>
      <w:pPr>
        <w:ind w:firstLine="482"/>
        <w:spacing w:line="300" w:lineRule="auto"/>
        <w:rPr>
          <w:rFonts w:ascii="仿宋" w:hAnsi="仿宋" w:eastAsia="仿宋" w:cs="仿宋"/>
          <w:b/>
          <w:color w:val="auto"/>
          <w:szCs w:val="21"/>
          <w:highlight w:val="none"/>
          <w:lang w:val="en-GB"/>
        </w:rPr>
      </w:pPr>
      <w:r>
        <w:rPr>
          <w:rFonts w:ascii="仿宋" w:hAnsi="仿宋" w:eastAsia="仿宋" w:cs="仿宋"/>
          <w:b/>
          <w:color w:val="auto"/>
          <w:szCs w:val="21"/>
          <w:highlight w:val="none"/>
          <w:lang w:val="en-GB"/>
        </w:rPr>
      </w:r>
      <w:r/>
    </w:p>
    <w:p>
      <w:pPr>
        <w:jc w:val="center"/>
        <w:spacing w:line="300" w:lineRule="auto"/>
        <w:rPr>
          <w:rFonts w:ascii="仿宋" w:hAnsi="仿宋" w:eastAsia="仿宋" w:cs="仿宋"/>
          <w:b/>
          <w:bCs/>
          <w:color w:val="auto"/>
          <w:sz w:val="30"/>
          <w:szCs w:val="20"/>
          <w:highlight w:val="none"/>
        </w:rPr>
      </w:pPr>
      <w:r>
        <w:rPr>
          <w:rFonts w:hint="eastAsia" w:ascii="仿宋" w:hAnsi="仿宋" w:eastAsia="仿宋" w:cs="仿宋"/>
          <w:b/>
          <w:bCs/>
          <w:color w:val="auto"/>
          <w:sz w:val="30"/>
          <w:szCs w:val="20"/>
          <w:highlight w:val="none"/>
        </w:rPr>
        <w:t xml:space="preserve">第二章  磋商文件</w:t>
      </w:r>
      <w:bookmarkEnd w:id="52"/>
      <w:r/>
      <w:r/>
    </w:p>
    <w:p>
      <w:pPr>
        <w:spacing w:line="300" w:lineRule="auto"/>
        <w:rPr>
          <w:rFonts w:ascii="仿宋" w:hAnsi="仿宋" w:eastAsia="仿宋" w:cs="仿宋"/>
          <w:b/>
          <w:bCs/>
          <w:color w:val="auto"/>
          <w:sz w:val="28"/>
          <w:szCs w:val="28"/>
          <w:highlight w:val="none"/>
          <w:lang w:val="en-GB"/>
        </w:rPr>
      </w:pPr>
      <w:r>
        <w:rPr>
          <w:rFonts w:hint="eastAsia" w:ascii="仿宋" w:hAnsi="仿宋" w:eastAsia="仿宋" w:cs="仿宋"/>
          <w:b/>
          <w:bCs/>
          <w:color w:val="auto"/>
          <w:sz w:val="28"/>
          <w:szCs w:val="28"/>
          <w:highlight w:val="none"/>
        </w:rPr>
        <w:t xml:space="preserve">12</w:t>
      </w:r>
      <w:r>
        <w:rPr>
          <w:rFonts w:hint="eastAsia" w:ascii="仿宋" w:hAnsi="仿宋" w:eastAsia="仿宋" w:cs="仿宋"/>
          <w:b/>
          <w:bCs/>
          <w:color w:val="auto"/>
          <w:sz w:val="28"/>
          <w:szCs w:val="28"/>
          <w:highlight w:val="none"/>
          <w:lang w:val="en-GB"/>
        </w:rPr>
        <w:t xml:space="preserve">.</w:t>
      </w:r>
      <w:r>
        <w:rPr>
          <w:rFonts w:hint="eastAsia" w:ascii="仿宋" w:hAnsi="仿宋" w:eastAsia="仿宋" w:cs="仿宋"/>
          <w:b/>
          <w:bCs/>
          <w:color w:val="auto"/>
          <w:sz w:val="28"/>
          <w:szCs w:val="28"/>
          <w:highlight w:val="none"/>
          <w:lang w:val="zh-CN"/>
        </w:rPr>
        <w:t xml:space="preserve">磋商文件的构成</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磋商文件是用以阐明所需服务、磋商程序和合同格式的规范性文件。磋商文件主要由以下部分组成：</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12</w:t>
      </w:r>
      <w:r>
        <w:rPr>
          <w:rFonts w:hint="eastAsia" w:ascii="仿宋" w:hAnsi="仿宋" w:eastAsia="仿宋" w:cs="仿宋"/>
          <w:color w:val="auto"/>
          <w:sz w:val="24"/>
          <w:highlight w:val="none"/>
          <w:lang w:val="zh-CN"/>
        </w:rPr>
        <w:t xml:space="preserve">.1磋商文件的组成：</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竞争性磋商公告；</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（1）供应商须知；</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（2）磋商文件内容及要求；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（3）响应文件编制；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（4）采购人应当提交的资格、资信证明文件；</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（5）响应截止时间、开标时间以及地点；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（6）评标、磋商、成交以及废标；</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（7）签订合同、合同主要条款；</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（8）纪律和监督；</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（9）质疑与投诉；</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（10）交货和提供服务的时间；</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（11）项目需求以及技术要求；</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（12）响应文件格式。</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采购人或者采购代理机构对磋商文件所作的答疑、澄清或者修改，均作为磋商文件的组成部分，对采购人、供应商均有约束作用。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12</w:t>
      </w:r>
      <w:r>
        <w:rPr>
          <w:rFonts w:hint="eastAsia" w:ascii="仿宋" w:hAnsi="仿宋" w:eastAsia="仿宋" w:cs="仿宋"/>
          <w:color w:val="auto"/>
          <w:sz w:val="24"/>
          <w:highlight w:val="none"/>
          <w:lang w:val="zh-CN"/>
        </w:rPr>
        <w:t xml:space="preserve">.2供应商在响应截止时间前，应通过江苏政府采购网随时查看有关该项目磋商文件的澄清、磋商文件的修改（磋商答疑，补遗文件）等内容。查询如有遗漏，其风险由供应商自行承担。</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12</w:t>
      </w:r>
      <w:r>
        <w:rPr>
          <w:rFonts w:hint="eastAsia" w:ascii="仿宋" w:hAnsi="仿宋" w:eastAsia="仿宋" w:cs="仿宋"/>
          <w:color w:val="auto"/>
          <w:sz w:val="24"/>
          <w:highlight w:val="none"/>
          <w:lang w:val="zh-CN"/>
        </w:rPr>
        <w:t xml:space="preserve">.3供应商领取磋商文件后，应仔细阅读磋商文件及附件的全部内容，磋商文件与附件具有同等效力。供应商同时应认真审阅磋商文件中所有的事项、条款、格式和标准要求等，如果供应商的响应文件没有按照磋商文件要求提交全部资料或者响应文件没有对磋商文件做出实质性响应，其风险应由供应商自行承担，并且根据有关条款规定，其响应有可能被拒绝。</w:t>
      </w:r>
      <w:r/>
    </w:p>
    <w:p>
      <w:pPr>
        <w:keepLines/>
        <w:keepNex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13</w:t>
      </w:r>
      <w:r>
        <w:rPr>
          <w:rFonts w:hint="eastAsia" w:ascii="仿宋" w:hAnsi="仿宋" w:eastAsia="仿宋" w:cs="仿宋"/>
          <w:b/>
          <w:bCs/>
          <w:color w:val="auto"/>
          <w:sz w:val="28"/>
          <w:szCs w:val="28"/>
          <w:highlight w:val="none"/>
          <w:lang w:val="zh-CN"/>
        </w:rPr>
        <w:t xml:space="preserve"> .磋商文件的澄清与修改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.1供应商领取磋商文件后，应仔细阅读磋商文件的全部内容。如有疑问，应在规定时间内及时向采购人提出，以便澄清。</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.2采购人不集中组织答疑，实行网上答疑。供应商若对磋商文件有疑问，需要采购人予以澄清，应于前附表所述时间和方式递交书面提疑，迟于该时间的采购人有权拒绝回答其提疑。</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.3采购人将按供应商须知前附表规定时限前收到的书面疑问，形成磋商文件的澄清答疑。磋商文件的澄清答疑将在江苏政府采购网向所有供应商公示，但不指明来源。</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4磋商文件发布后，在供应商须知前附表规定的时限内，确需要变更磋商文件内容的，采购人可主动或在解答供应商提出的澄清答疑时对磋商文件进行修改，并同时报监督部门备案。磋商文件的修改以答疑形式在江苏政府采购网发布。</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.5磋商文件、磋商文件的答疑内容均以网上发布的为准。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.6为使供应商在编写响应文件时有充分时间对磋商文件的答疑部分进行研究，采购人可以酌情延长递交响应文件的截止日期，具体时间将在磋商文件的答疑中明确。</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.7当磋商文件、磋商文件的答疑内容相互矛盾时，以最后发出的文件为准。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b/>
          <w:bCs/>
          <w:color w:val="auto"/>
          <w:sz w:val="24"/>
          <w:highlight w:val="none"/>
          <w:lang w:val="zh-CN"/>
        </w:rPr>
        <w:t xml:space="preserve">特别说明：</w:t>
      </w:r>
      <w:r>
        <w:rPr>
          <w:rFonts w:hint="eastAsia" w:ascii="仿宋" w:hAnsi="仿宋" w:eastAsia="仿宋" w:cs="仿宋"/>
          <w:color w:val="auto"/>
          <w:sz w:val="24"/>
          <w:highlight w:val="none"/>
          <w:lang w:val="zh-CN"/>
        </w:rPr>
        <w:t xml:space="preserve">“苏采云”系统通过“江苏省政府采购一体化不见面开标大厅”提醒供应商。供应商自行查看，供应商因自身原因不及时查看导致没收到信息，“苏采云”系统不承担任何责任。</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14</w:t>
      </w:r>
      <w:r>
        <w:rPr>
          <w:rFonts w:hint="eastAsia" w:ascii="仿宋" w:hAnsi="仿宋" w:eastAsia="仿宋" w:cs="仿宋"/>
          <w:b/>
          <w:bCs/>
          <w:color w:val="auto"/>
          <w:sz w:val="28"/>
          <w:szCs w:val="28"/>
          <w:highlight w:val="none"/>
          <w:lang w:val="zh-CN"/>
        </w:rPr>
        <w:t xml:space="preserve">.样品检测、测试以及费用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本项目无样品检测。</w:t>
      </w:r>
      <w:r/>
    </w:p>
    <w:p>
      <w:pPr>
        <w:ind w:firstLine="48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r>
      <w:r/>
    </w:p>
    <w:p>
      <w:pPr>
        <w:pStyle w:val="1099"/>
        <w:jc w:val="center"/>
        <w:spacing w:before="0" w:after="0" w:line="300" w:lineRule="auto"/>
        <w:rPr>
          <w:rFonts w:ascii="仿宋" w:hAnsi="仿宋" w:eastAsia="仿宋" w:cs="仿宋"/>
          <w:color w:val="auto"/>
          <w:sz w:val="28"/>
          <w:szCs w:val="28"/>
          <w:highlight w:val="none"/>
        </w:rPr>
      </w:pPr>
      <w:r/>
      <w:bookmarkStart w:id="53" w:name="_Toc329009665"/>
      <w:r>
        <w:rPr>
          <w:rFonts w:hint="eastAsia" w:ascii="仿宋" w:hAnsi="仿宋" w:eastAsia="仿宋" w:cs="仿宋"/>
          <w:color w:val="auto"/>
          <w:sz w:val="28"/>
          <w:szCs w:val="28"/>
          <w:highlight w:val="none"/>
        </w:rPr>
        <w:t xml:space="preserve">第三章  磋商报价、响应文件编制</w:t>
      </w:r>
      <w:bookmarkEnd w:id="53"/>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15</w:t>
      </w:r>
      <w:r>
        <w:rPr>
          <w:rFonts w:hint="eastAsia" w:ascii="仿宋" w:hAnsi="仿宋" w:eastAsia="仿宋" w:cs="仿宋"/>
          <w:b/>
          <w:bCs/>
          <w:color w:val="auto"/>
          <w:sz w:val="28"/>
          <w:szCs w:val="28"/>
          <w:highlight w:val="none"/>
          <w:lang w:val="zh-CN"/>
        </w:rPr>
        <w:t xml:space="preserve">.磋商报价</w:t>
      </w:r>
      <w:r/>
    </w:p>
    <w:p>
      <w:pPr>
        <w:ind w:firstLine="480"/>
        <w:spacing w:line="300" w:lineRule="auto"/>
        <w:rPr>
          <w:rFonts w:ascii="仿宋" w:hAnsi="仿宋" w:eastAsia="仿宋" w:cs="Arial"/>
          <w:color w:val="auto"/>
          <w:sz w:val="24"/>
          <w:highlight w:val="none"/>
          <w:lang w:val="en-GB"/>
        </w:rPr>
      </w:pPr>
      <w:r>
        <w:rPr>
          <w:rFonts w:hint="eastAsia" w:ascii="仿宋" w:hAnsi="仿宋" w:eastAsia="仿宋" w:cs="仿宋"/>
          <w:color w:val="auto"/>
          <w:sz w:val="24"/>
          <w:highlight w:val="none"/>
        </w:rPr>
        <w:t xml:space="preserve">15</w:t>
      </w:r>
      <w:r>
        <w:rPr>
          <w:rFonts w:hint="eastAsia" w:ascii="仿宋" w:hAnsi="仿宋" w:eastAsia="仿宋" w:cs="仿宋"/>
          <w:color w:val="auto"/>
          <w:sz w:val="24"/>
          <w:highlight w:val="none"/>
          <w:lang w:val="zh-CN"/>
        </w:rPr>
        <w:t xml:space="preserve">.1磋商报价的范围：</w:t>
      </w:r>
      <w:r>
        <w:rPr>
          <w:rFonts w:hint="eastAsia" w:ascii="仿宋" w:hAnsi="仿宋" w:eastAsia="仿宋" w:cs="Arial"/>
          <w:color w:val="auto"/>
          <w:sz w:val="24"/>
          <w:highlight w:val="none"/>
          <w:lang w:val="en-GB"/>
        </w:rPr>
        <w:t xml:space="preserve">为含税全包价，</w:t>
      </w:r>
      <w:r>
        <w:rPr>
          <w:rFonts w:hint="eastAsia" w:ascii="仿宋" w:hAnsi="仿宋" w:eastAsia="仿宋" w:cs="仿宋"/>
          <w:color w:val="auto"/>
          <w:sz w:val="24"/>
          <w:highlight w:val="none"/>
          <w:u w:val="single"/>
          <w:lang w:val="zh-CN"/>
        </w:rPr>
        <w:t xml:space="preserve">响应</w:t>
      </w:r>
      <w:r>
        <w:rPr>
          <w:rFonts w:ascii="仿宋" w:hAnsi="仿宋" w:eastAsia="仿宋" w:cs="仿宋"/>
          <w:color w:val="auto"/>
          <w:sz w:val="24"/>
          <w:highlight w:val="none"/>
          <w:u w:val="single"/>
          <w:lang w:val="zh-CN"/>
        </w:rPr>
        <w:t xml:space="preserve">报价</w:t>
      </w:r>
      <w:r>
        <w:rPr>
          <w:rFonts w:hint="eastAsia" w:ascii="仿宋" w:hAnsi="仿宋" w:eastAsia="仿宋" w:cs="仿宋"/>
          <w:color w:val="auto"/>
          <w:sz w:val="24"/>
          <w:highlight w:val="none"/>
          <w:u w:val="single"/>
          <w:lang w:val="zh-CN"/>
        </w:rPr>
        <w:t xml:space="preserve">内容</w:t>
      </w:r>
      <w:r>
        <w:rPr>
          <w:rFonts w:ascii="仿宋" w:hAnsi="仿宋" w:eastAsia="仿宋" w:cs="仿宋"/>
          <w:color w:val="auto"/>
          <w:sz w:val="24"/>
          <w:highlight w:val="none"/>
          <w:u w:val="single"/>
          <w:lang w:val="zh-CN"/>
        </w:rPr>
        <w:t xml:space="preserve">包括</w:t>
      </w:r>
      <w:r>
        <w:rPr>
          <w:rFonts w:hint="eastAsia" w:ascii="仿宋" w:hAnsi="仿宋" w:eastAsia="仿宋" w:cs="仿宋"/>
          <w:color w:val="auto"/>
          <w:sz w:val="24"/>
          <w:highlight w:val="none"/>
          <w:u w:val="single"/>
          <w:lang w:val="zh-CN"/>
        </w:rPr>
        <w:t xml:space="preserve">详见磋商文件前附表规定</w:t>
      </w:r>
      <w:r>
        <w:rPr>
          <w:rFonts w:hint="eastAsia" w:ascii="仿宋" w:hAnsi="仿宋" w:eastAsia="仿宋"/>
          <w:color w:val="auto"/>
          <w:sz w:val="24"/>
          <w:highlight w:val="none"/>
        </w:rPr>
        <w:t xml:space="preserve">。</w:t>
      </w:r>
      <w:r>
        <w:rPr>
          <w:rFonts w:hint="eastAsia" w:ascii="仿宋" w:hAnsi="仿宋" w:eastAsia="仿宋" w:cs="Arial"/>
          <w:color w:val="auto"/>
          <w:sz w:val="24"/>
          <w:highlight w:val="none"/>
          <w:lang w:val="en-GB"/>
        </w:rPr>
        <w:t xml:space="preserve">也包含委托代理技术咨询费，无论供应商是否计算均视为包含在总报价内。投标人在进行报价时应充分考虑到各环节成本（评审等）因素，报价一经报定，不得更改，并作为中标后开展工作的收费标准。招标代理服务费</w:t>
      </w:r>
      <w:r>
        <w:rPr>
          <w:rFonts w:hint="eastAsia" w:ascii="仿宋" w:hAnsi="仿宋" w:eastAsia="仿宋" w:cs="仿宋"/>
          <w:color w:val="auto"/>
          <w:sz w:val="24"/>
          <w:highlight w:val="none"/>
          <w:lang w:val="en-GB"/>
        </w:rPr>
        <w:t xml:space="preserve">根据江苏省政府采购协会《关于印发&lt;江苏省政府采购代理服务收费指导意见&gt;的通知》（苏政采协[2024]）20号）文件所规定的80%收费标准收取。按中标价为基准采用累进计费，即50万元（含）以下按</w:t>
      </w:r>
      <w:r>
        <w:rPr>
          <w:rFonts w:hint="eastAsia" w:ascii="仿宋" w:hAnsi="仿宋" w:eastAsia="仿宋" w:cs="仿宋"/>
          <w:color w:val="auto"/>
          <w:sz w:val="24"/>
          <w:highlight w:val="none"/>
        </w:rPr>
        <w:t xml:space="preserve">1.28</w:t>
      </w:r>
      <w:r>
        <w:rPr>
          <w:rFonts w:hint="eastAsia" w:ascii="仿宋" w:hAnsi="仿宋" w:eastAsia="仿宋" w:cs="仿宋"/>
          <w:color w:val="auto"/>
          <w:sz w:val="24"/>
          <w:highlight w:val="none"/>
          <w:lang w:val="en-GB"/>
        </w:rPr>
        <w:t xml:space="preserve">%收取，50-400万元区段按</w:t>
      </w:r>
      <w:r>
        <w:rPr>
          <w:rFonts w:hint="eastAsia" w:ascii="仿宋" w:hAnsi="仿宋" w:eastAsia="仿宋" w:cs="仿宋"/>
          <w:color w:val="auto"/>
          <w:sz w:val="24"/>
          <w:highlight w:val="none"/>
        </w:rPr>
        <w:t xml:space="preserve">1.2</w:t>
      </w:r>
      <w:r>
        <w:rPr>
          <w:rFonts w:hint="eastAsia" w:ascii="仿宋" w:hAnsi="仿宋" w:eastAsia="仿宋" w:cs="仿宋"/>
          <w:color w:val="auto"/>
          <w:sz w:val="24"/>
          <w:highlight w:val="none"/>
          <w:lang w:val="en-GB"/>
        </w:rPr>
        <w:t xml:space="preserve">%收取</w:t>
      </w:r>
      <w:r>
        <w:rPr>
          <w:rFonts w:hint="eastAsia" w:ascii="仿宋" w:hAnsi="仿宋" w:eastAsia="仿宋" w:cs="Arial"/>
          <w:color w:val="auto"/>
          <w:sz w:val="24"/>
          <w:highlight w:val="none"/>
          <w:lang w:val="en-GB"/>
        </w:rPr>
        <w:t xml:space="preserve">。</w:t>
      </w:r>
      <w:r>
        <w:rPr>
          <w:rFonts w:hint="eastAsia" w:ascii="仿宋" w:hAnsi="仿宋" w:eastAsia="仿宋" w:cs="仿宋"/>
          <w:color w:val="auto"/>
          <w:sz w:val="24"/>
          <w:highlight w:val="none"/>
          <w:lang w:val="en-GB"/>
        </w:rPr>
        <w:t xml:space="preserve">中标公示后，领取中标通知书时中标单位向招标代理机构一次性付清</w:t>
      </w:r>
      <w:r/>
    </w:p>
    <w:p>
      <w:pPr>
        <w:ind w:firstLine="480"/>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15</w:t>
      </w:r>
      <w:r>
        <w:rPr>
          <w:rFonts w:ascii="仿宋" w:hAnsi="仿宋" w:eastAsia="仿宋" w:cs="仿宋"/>
          <w:color w:val="auto"/>
          <w:sz w:val="24"/>
          <w:highlight w:val="none"/>
          <w:lang w:val="zh-CN"/>
        </w:rPr>
        <w:t xml:space="preserve">.2</w:t>
      </w:r>
      <w:r>
        <w:rPr>
          <w:rFonts w:hint="eastAsia" w:ascii="仿宋" w:hAnsi="仿宋" w:eastAsia="仿宋" w:cs="仿宋"/>
          <w:color w:val="auto"/>
          <w:sz w:val="24"/>
          <w:highlight w:val="none"/>
          <w:lang w:val="zh-CN"/>
        </w:rPr>
        <w:t xml:space="preserve">供应商可对</w:t>
      </w:r>
      <w:r>
        <w:rPr>
          <w:rFonts w:hint="eastAsia" w:ascii="仿宋" w:hAnsi="仿宋" w:eastAsia="仿宋" w:cs="仿宋"/>
          <w:color w:val="auto"/>
          <w:sz w:val="24"/>
          <w:highlight w:val="none"/>
        </w:rPr>
        <w:t xml:space="preserve">磋商</w:t>
      </w:r>
      <w:r>
        <w:rPr>
          <w:rFonts w:hint="eastAsia" w:ascii="仿宋" w:hAnsi="仿宋" w:eastAsia="仿宋" w:cs="仿宋"/>
          <w:color w:val="auto"/>
          <w:sz w:val="24"/>
          <w:highlight w:val="none"/>
          <w:lang w:val="zh-CN"/>
        </w:rPr>
        <w:t xml:space="preserve">文件中的全部服务进行</w:t>
      </w:r>
      <w:r>
        <w:rPr>
          <w:rFonts w:hint="eastAsia" w:ascii="仿宋" w:hAnsi="仿宋" w:eastAsia="仿宋" w:cs="仿宋"/>
          <w:color w:val="auto"/>
          <w:sz w:val="24"/>
          <w:highlight w:val="none"/>
        </w:rPr>
        <w:t xml:space="preserve">响应</w:t>
      </w:r>
      <w:r>
        <w:rPr>
          <w:rFonts w:hint="eastAsia" w:ascii="仿宋" w:hAnsi="仿宋" w:eastAsia="仿宋" w:cs="仿宋"/>
          <w:color w:val="auto"/>
          <w:sz w:val="24"/>
          <w:highlight w:val="none"/>
          <w:lang w:val="zh-CN"/>
        </w:rPr>
        <w:t xml:space="preserve">报价，也可以对某一标段中的服务进行</w:t>
      </w:r>
      <w:r>
        <w:rPr>
          <w:rFonts w:hint="eastAsia" w:ascii="仿宋" w:hAnsi="仿宋" w:eastAsia="仿宋" w:cs="仿宋"/>
          <w:color w:val="auto"/>
          <w:sz w:val="24"/>
          <w:highlight w:val="none"/>
        </w:rPr>
        <w:t xml:space="preserve">响应</w:t>
      </w:r>
      <w:r>
        <w:rPr>
          <w:rFonts w:hint="eastAsia" w:ascii="仿宋" w:hAnsi="仿宋" w:eastAsia="仿宋" w:cs="仿宋"/>
          <w:color w:val="auto"/>
          <w:sz w:val="24"/>
          <w:highlight w:val="none"/>
          <w:lang w:val="zh-CN"/>
        </w:rPr>
        <w:t xml:space="preserve">报价。但对每一标段服务的报价必须全部报齐，否则响应无效。</w:t>
      </w:r>
      <w:r/>
    </w:p>
    <w:p>
      <w:pPr>
        <w:ind w:firstLine="480"/>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15</w:t>
      </w:r>
      <w:r>
        <w:rPr>
          <w:rFonts w:ascii="仿宋" w:hAnsi="仿宋" w:eastAsia="仿宋" w:cs="仿宋"/>
          <w:color w:val="auto"/>
          <w:sz w:val="24"/>
          <w:highlight w:val="none"/>
          <w:lang w:val="zh-CN"/>
        </w:rPr>
        <w:t xml:space="preserve">.3</w:t>
      </w:r>
      <w:r>
        <w:rPr>
          <w:rFonts w:hint="eastAsia" w:ascii="仿宋" w:hAnsi="仿宋" w:eastAsia="仿宋" w:cs="仿宋"/>
          <w:color w:val="auto"/>
          <w:sz w:val="24"/>
          <w:highlight w:val="none"/>
          <w:lang w:val="zh-CN"/>
        </w:rPr>
        <w:t xml:space="preserve">响应报价为一次不得更改报价，即响应报价不得有选择性报价和附有条件的报价，且不得高于采购预算价（采购需求调增除外），否则其响应无效。本条所指的一次报价为第一轮报价的一次性，第</w:t>
      </w:r>
      <w:r>
        <w:rPr>
          <w:rFonts w:hint="eastAsia" w:ascii="仿宋" w:hAnsi="仿宋" w:eastAsia="仿宋" w:cs="仿宋"/>
          <w:color w:val="auto"/>
          <w:sz w:val="24"/>
          <w:highlight w:val="none"/>
        </w:rPr>
        <w:t xml:space="preserve">24.8</w:t>
      </w:r>
      <w:r>
        <w:rPr>
          <w:rFonts w:hint="eastAsia" w:ascii="仿宋" w:hAnsi="仿宋" w:eastAsia="仿宋" w:cs="仿宋"/>
          <w:color w:val="auto"/>
          <w:sz w:val="24"/>
          <w:highlight w:val="none"/>
          <w:lang w:val="zh-CN"/>
        </w:rPr>
        <w:t xml:space="preserve">条规定为磋商小组谈判后的最终报价，同样不得有选择性报价和附有条件的报价，且不得高于第一轮报价，否则其响应无效。</w:t>
      </w:r>
      <w:r>
        <w:rPr>
          <w:rFonts w:hint="eastAsia" w:ascii="仿宋" w:hAnsi="仿宋" w:eastAsia="仿宋" w:cs="仿宋"/>
          <w:b/>
          <w:color w:val="auto"/>
          <w:sz w:val="24"/>
          <w:highlight w:val="none"/>
          <w:lang w:val="zh-CN"/>
        </w:rPr>
        <w:t xml:space="preserve">供应商针对竞争性磋商报价按本条和</w:t>
      </w:r>
      <w:r>
        <w:rPr>
          <w:rFonts w:hint="eastAsia" w:ascii="仿宋" w:hAnsi="仿宋" w:eastAsia="仿宋" w:cs="仿宋"/>
          <w:b/>
          <w:color w:val="auto"/>
          <w:sz w:val="24"/>
          <w:highlight w:val="none"/>
        </w:rPr>
        <w:t xml:space="preserve">24.8</w:t>
      </w:r>
      <w:r>
        <w:rPr>
          <w:rFonts w:hint="eastAsia" w:ascii="仿宋" w:hAnsi="仿宋" w:eastAsia="仿宋" w:cs="仿宋"/>
          <w:b/>
          <w:color w:val="auto"/>
          <w:sz w:val="24"/>
          <w:highlight w:val="none"/>
          <w:lang w:val="zh-CN"/>
        </w:rPr>
        <w:t xml:space="preserve">条规定为准，涉及到报价均按此解释。</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15</w:t>
      </w:r>
      <w:r>
        <w:rPr>
          <w:rFonts w:ascii="仿宋" w:hAnsi="仿宋" w:eastAsia="仿宋" w:cs="仿宋"/>
          <w:color w:val="auto"/>
          <w:sz w:val="24"/>
          <w:highlight w:val="none"/>
          <w:lang w:val="zh-CN"/>
        </w:rPr>
        <w:t xml:space="preserve">.4</w:t>
      </w:r>
      <w:r>
        <w:rPr>
          <w:rFonts w:hint="eastAsia" w:ascii="仿宋" w:hAnsi="仿宋" w:eastAsia="仿宋" w:cs="仿宋"/>
          <w:color w:val="auto"/>
          <w:sz w:val="24"/>
          <w:highlight w:val="none"/>
          <w:lang w:val="zh-CN"/>
        </w:rPr>
        <w:t xml:space="preserve">供应商不得以任何方式或者方法提供投标以外的任何附赠条款。否则响应无效。</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15</w:t>
      </w:r>
      <w:r>
        <w:rPr>
          <w:rFonts w:ascii="仿宋" w:hAnsi="仿宋" w:eastAsia="仿宋" w:cs="仿宋"/>
          <w:color w:val="auto"/>
          <w:sz w:val="24"/>
          <w:highlight w:val="none"/>
          <w:lang w:val="zh-CN"/>
        </w:rPr>
        <w:t xml:space="preserve">.5 </w:t>
      </w:r>
      <w:r>
        <w:rPr>
          <w:rFonts w:hint="eastAsia" w:ascii="仿宋" w:hAnsi="仿宋" w:eastAsia="仿宋" w:cs="仿宋"/>
          <w:color w:val="auto"/>
          <w:sz w:val="24"/>
          <w:highlight w:val="none"/>
          <w:lang w:val="zh-CN"/>
        </w:rPr>
        <w:t xml:space="preserve">供应商应按照磋商文件中报价部分要求的内容填写报价，并由法定代表人或者被授权代表签署，否则响应无效。</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15</w:t>
      </w:r>
      <w:r>
        <w:rPr>
          <w:rFonts w:ascii="仿宋" w:hAnsi="仿宋" w:eastAsia="仿宋" w:cs="仿宋"/>
          <w:color w:val="auto"/>
          <w:sz w:val="24"/>
          <w:highlight w:val="none"/>
          <w:lang w:val="zh-CN"/>
        </w:rPr>
        <w:t xml:space="preserve">.6</w:t>
      </w:r>
      <w:r>
        <w:rPr>
          <w:rFonts w:hint="eastAsia" w:ascii="仿宋" w:hAnsi="仿宋" w:eastAsia="仿宋" w:cs="仿宋"/>
          <w:color w:val="auto"/>
          <w:sz w:val="24"/>
          <w:highlight w:val="none"/>
          <w:lang w:val="zh-CN"/>
        </w:rPr>
        <w:t xml:space="preserve">供应商须按照附件格式表中的各单项明细逐项填写，以方便评标委员会对各响应文件进行比较，否则其响应无效。</w:t>
      </w:r>
      <w:r/>
    </w:p>
    <w:p>
      <w:pPr>
        <w:spacing w:line="300" w:lineRule="auto"/>
        <w:tabs>
          <w:tab w:val="left" w:pos="360" w:leader="none"/>
        </w:tabs>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16</w:t>
      </w:r>
      <w:r>
        <w:rPr>
          <w:rFonts w:hint="eastAsia" w:ascii="仿宋" w:hAnsi="仿宋" w:eastAsia="仿宋" w:cs="仿宋"/>
          <w:b/>
          <w:bCs/>
          <w:color w:val="auto"/>
          <w:sz w:val="28"/>
          <w:szCs w:val="28"/>
          <w:highlight w:val="none"/>
          <w:lang w:val="zh-CN"/>
        </w:rPr>
        <w:t xml:space="preserve">.响应文件的签署</w:t>
      </w:r>
      <w:r>
        <w:rPr>
          <w:rFonts w:hint="eastAsia" w:ascii="仿宋" w:hAnsi="仿宋" w:eastAsia="仿宋" w:cs="仿宋"/>
          <w:b/>
          <w:bCs/>
          <w:color w:val="auto"/>
          <w:sz w:val="28"/>
          <w:szCs w:val="28"/>
          <w:highlight w:val="none"/>
        </w:rPr>
        <w:t xml:space="preserve">及盖章</w:t>
      </w:r>
      <w:r>
        <w:rPr>
          <w:rFonts w:hint="eastAsia" w:ascii="仿宋" w:hAnsi="仿宋" w:eastAsia="仿宋" w:cs="仿宋"/>
          <w:b/>
          <w:bCs/>
          <w:color w:val="auto"/>
          <w:sz w:val="28"/>
          <w:szCs w:val="28"/>
          <w:highlight w:val="none"/>
          <w:lang w:val="zh-CN"/>
        </w:rPr>
        <w:t xml:space="preserve">要求</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16.1详细</w:t>
      </w:r>
      <w:r>
        <w:rPr>
          <w:rFonts w:hint="eastAsia" w:ascii="仿宋" w:hAnsi="仿宋" w:eastAsia="仿宋"/>
          <w:color w:val="auto"/>
          <w:sz w:val="24"/>
          <w:highlight w:val="none"/>
          <w:lang w:val="zh-CN"/>
        </w:rPr>
        <w:t xml:space="preserve">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章《响应文件格式》。</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16.2响应</w:t>
      </w:r>
      <w:r>
        <w:rPr>
          <w:rFonts w:hint="eastAsia" w:ascii="仿宋" w:hAnsi="仿宋" w:eastAsia="仿宋"/>
          <w:color w:val="auto"/>
          <w:sz w:val="24"/>
          <w:highlight w:val="none"/>
          <w:lang w:val="zh-CN"/>
        </w:rPr>
        <w:t xml:space="preserve">文件的盖章要求：本条以下部分和招标文件第十三章《投标文件相关格式》。</w:t>
      </w:r>
      <w:r>
        <w:rPr>
          <w:rFonts w:hint="eastAsia" w:ascii="仿宋" w:hAnsi="仿宋" w:eastAsia="仿宋"/>
          <w:color w:val="auto"/>
          <w:sz w:val="24"/>
          <w:highlight w:val="none"/>
        </w:rPr>
        <w:t xml:space="preserve">响应</w:t>
      </w:r>
      <w:r>
        <w:rPr>
          <w:rFonts w:hint="eastAsia" w:ascii="仿宋" w:hAnsi="仿宋" w:eastAsia="仿宋"/>
          <w:color w:val="auto"/>
          <w:sz w:val="24"/>
          <w:highlight w:val="none"/>
          <w:lang w:val="zh-CN"/>
        </w:rPr>
        <w:t xml:space="preserve">人须通过“苏采云”系统提供的政府采购客户端工具（使用“CA数字证书”）加盖</w:t>
      </w:r>
      <w:r>
        <w:rPr>
          <w:rFonts w:hint="eastAsia" w:ascii="仿宋" w:hAnsi="仿宋" w:eastAsia="仿宋"/>
          <w:color w:val="auto"/>
          <w:sz w:val="24"/>
          <w:highlight w:val="none"/>
        </w:rPr>
        <w:t xml:space="preserve">电子签章</w:t>
      </w:r>
      <w:r>
        <w:rPr>
          <w:rFonts w:hint="eastAsia" w:ascii="仿宋" w:hAnsi="仿宋" w:eastAsia="仿宋"/>
          <w:color w:val="auto"/>
          <w:sz w:val="24"/>
          <w:highlight w:val="none"/>
          <w:lang w:val="zh-CN"/>
        </w:rPr>
        <w:t xml:space="preserve">。</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w:t>
      </w:r>
      <w:r>
        <w:rPr>
          <w:rFonts w:hint="eastAsia" w:ascii="仿宋" w:hAnsi="仿宋" w:eastAsia="仿宋"/>
          <w:color w:val="auto"/>
          <w:sz w:val="24"/>
          <w:highlight w:val="none"/>
          <w:lang w:val="zh-CN"/>
        </w:rPr>
        <w:t xml:space="preserve">线上响应文件编制要求：</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请按照以下要求（包括但不限于以下要求）制作：</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w:t>
      </w:r>
      <w:r>
        <w:rPr>
          <w:rFonts w:hint="eastAsia" w:ascii="仿宋" w:hAnsi="仿宋" w:eastAsia="仿宋"/>
          <w:color w:val="auto"/>
          <w:sz w:val="24"/>
          <w:highlight w:val="none"/>
          <w:lang w:val="zh-CN"/>
        </w:rPr>
        <w:t xml:space="preserve">基本目录</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16.3.1.1</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rPr>
        <w:t xml:space="preserve">首轮报价</w:t>
      </w:r>
      <w:r>
        <w:rPr>
          <w:rFonts w:hint="eastAsia" w:ascii="仿宋" w:hAnsi="仿宋" w:eastAsia="仿宋"/>
          <w:color w:val="auto"/>
          <w:sz w:val="24"/>
          <w:highlight w:val="none"/>
          <w:lang w:val="zh-CN"/>
        </w:rPr>
        <w:t xml:space="preserve">一览表》（加盖电子签章，政府采购客户端工具输入报价自动生成，需分采购包编制）；</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16.3.1.2</w:t>
      </w:r>
      <w:r>
        <w:rPr>
          <w:rFonts w:hint="eastAsia" w:ascii="仿宋" w:hAnsi="仿宋" w:eastAsia="仿宋"/>
          <w:color w:val="auto"/>
          <w:sz w:val="24"/>
          <w:highlight w:val="none"/>
          <w:lang w:val="zh-CN"/>
        </w:rPr>
        <w:t xml:space="preserve">《授权委托书》（提供原件的扫描件，格式见招标文件第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章《响应文件格式》）；</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w:t>
      </w:r>
      <w:r>
        <w:rPr>
          <w:rFonts w:hint="eastAsia" w:ascii="仿宋" w:hAnsi="仿宋" w:eastAsia="仿宋"/>
          <w:color w:val="auto"/>
          <w:sz w:val="24"/>
          <w:highlight w:val="none"/>
          <w:lang w:val="zh-CN"/>
        </w:rPr>
        <w:t xml:space="preserve">资格条件（1-6必须提供，否则响应无效）</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16.3.2.1</w:t>
      </w:r>
      <w:r>
        <w:rPr>
          <w:rFonts w:hint="eastAsia" w:ascii="仿宋" w:hAnsi="仿宋" w:eastAsia="仿宋"/>
          <w:color w:val="auto"/>
          <w:sz w:val="24"/>
          <w:highlight w:val="none"/>
          <w:lang w:val="zh-CN"/>
        </w:rPr>
        <w:t xml:space="preserve">具有独立承担民事责任的能力，提供法人或者其他组织的营业执照等证明文件（提供原件的扫描件）；</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16.3.2.2</w:t>
      </w:r>
      <w:r>
        <w:rPr>
          <w:rFonts w:hint="eastAsia" w:ascii="仿宋" w:hAnsi="仿宋" w:eastAsia="仿宋"/>
          <w:color w:val="auto"/>
          <w:sz w:val="24"/>
          <w:highlight w:val="none"/>
          <w:lang w:val="zh-CN"/>
        </w:rPr>
        <w:t xml:space="preserve">具有良好的商业信誉和健全的财务会计制度（</w:t>
      </w:r>
      <w:r>
        <w:rPr>
          <w:rFonts w:hint="eastAsia" w:ascii="仿宋" w:hAnsi="仿宋" w:eastAsia="仿宋"/>
          <w:color w:val="auto"/>
          <w:sz w:val="24"/>
          <w:highlight w:val="none"/>
        </w:rPr>
        <w:t xml:space="preserve">责任制，</w:t>
      </w:r>
      <w:r>
        <w:rPr>
          <w:rFonts w:hint="eastAsia" w:ascii="仿宋" w:hAnsi="仿宋" w:eastAsia="仿宋"/>
          <w:color w:val="auto"/>
          <w:sz w:val="24"/>
          <w:highlight w:val="none"/>
          <w:lang w:val="zh-CN"/>
        </w:rPr>
        <w:t xml:space="preserve">提供承诺，加盖电子签章）；</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16.3.2.3</w:t>
      </w:r>
      <w:r>
        <w:rPr>
          <w:rFonts w:hint="eastAsia" w:ascii="仿宋" w:hAnsi="仿宋" w:eastAsia="仿宋"/>
          <w:color w:val="auto"/>
          <w:sz w:val="24"/>
          <w:highlight w:val="none"/>
          <w:lang w:val="zh-CN"/>
        </w:rPr>
        <w:t xml:space="preserve">具备履行合同所必需的设备和专业技术能力（</w:t>
      </w:r>
      <w:r>
        <w:rPr>
          <w:rFonts w:hint="eastAsia" w:ascii="仿宋" w:hAnsi="仿宋" w:eastAsia="仿宋"/>
          <w:color w:val="auto"/>
          <w:sz w:val="24"/>
          <w:highlight w:val="none"/>
        </w:rPr>
        <w:t xml:space="preserve">责任制</w:t>
      </w:r>
      <w:r>
        <w:rPr>
          <w:rFonts w:hint="eastAsia" w:ascii="仿宋" w:hAnsi="仿宋" w:eastAsia="仿宋"/>
          <w:color w:val="auto"/>
          <w:sz w:val="24"/>
          <w:highlight w:val="none"/>
          <w:lang w:val="zh-CN"/>
        </w:rPr>
        <w:t xml:space="preserve">提供承诺，加盖电子签章）；</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16.3.2.4</w:t>
      </w:r>
      <w:r>
        <w:rPr>
          <w:rFonts w:hint="eastAsia" w:ascii="仿宋" w:hAnsi="仿宋" w:eastAsia="仿宋"/>
          <w:color w:val="auto"/>
          <w:sz w:val="24"/>
          <w:highlight w:val="none"/>
          <w:lang w:val="zh-CN"/>
        </w:rPr>
        <w:t xml:space="preserve">参加政府采购活动近3年内（成立时间不足三年的，可以自成立时间起）在经营活动中没有重大违法记录（</w:t>
      </w:r>
      <w:r>
        <w:rPr>
          <w:rFonts w:hint="eastAsia" w:ascii="仿宋" w:hAnsi="仿宋" w:eastAsia="仿宋"/>
          <w:color w:val="auto"/>
          <w:sz w:val="24"/>
          <w:highlight w:val="none"/>
        </w:rPr>
        <w:t xml:space="preserve">责任制，</w:t>
      </w:r>
      <w:r>
        <w:rPr>
          <w:rFonts w:hint="eastAsia" w:ascii="仿宋" w:hAnsi="仿宋" w:eastAsia="仿宋"/>
          <w:color w:val="auto"/>
          <w:sz w:val="24"/>
          <w:highlight w:val="none"/>
          <w:lang w:val="zh-CN"/>
        </w:rPr>
        <w:t xml:space="preserve">提供承诺，加盖电子签章）；</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16.3.2.5</w:t>
      </w:r>
      <w:r>
        <w:rPr>
          <w:rFonts w:hint="eastAsia" w:ascii="仿宋" w:hAnsi="仿宋" w:eastAsia="仿宋"/>
          <w:color w:val="auto"/>
          <w:sz w:val="24"/>
          <w:highlight w:val="none"/>
          <w:lang w:val="zh-CN"/>
        </w:rPr>
        <w:t xml:space="preserve">有依法缴纳税收和社会保障资金的良好记录（</w:t>
      </w:r>
      <w:r>
        <w:rPr>
          <w:rFonts w:hint="eastAsia" w:ascii="仿宋" w:hAnsi="仿宋" w:eastAsia="仿宋"/>
          <w:color w:val="auto"/>
          <w:sz w:val="24"/>
          <w:highlight w:val="none"/>
        </w:rPr>
        <w:t xml:space="preserve">责任制</w:t>
      </w:r>
      <w:r>
        <w:rPr>
          <w:rFonts w:hint="eastAsia" w:ascii="仿宋" w:hAnsi="仿宋" w:eastAsia="仿宋"/>
          <w:color w:val="auto"/>
          <w:sz w:val="24"/>
          <w:highlight w:val="none"/>
          <w:lang w:val="zh-CN"/>
        </w:rPr>
        <w:t xml:space="preserve">提供承诺，加盖电子签章）；</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16.3.2.6</w:t>
      </w:r>
      <w:r>
        <w:rPr>
          <w:rFonts w:hint="eastAsia" w:ascii="仿宋" w:hAnsi="仿宋" w:eastAsia="仿宋"/>
          <w:color w:val="auto"/>
          <w:sz w:val="24"/>
          <w:highlight w:val="none"/>
          <w:lang w:val="zh-CN"/>
        </w:rPr>
        <w:t xml:space="preserve">未列入严重失信主体名单、政府采购严重违法失信行为记录名单中的供应商；供应商通过“信用中国”网站（www.creditchina.gov.cn)、“中国政府采购网”网站（www.ccgp.gov.cn)渠道查询开标前三年内的信用记录截图（提供网上查询记录加盖电子签章公章）；</w:t>
      </w:r>
      <w:r/>
    </w:p>
    <w:p>
      <w:pPr>
        <w:pStyle w:val="1103"/>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16.3.2.7</w:t>
      </w:r>
      <w:r>
        <w:rPr>
          <w:rFonts w:ascii="仿宋" w:hAnsi="仿宋" w:eastAsia="仿宋"/>
          <w:color w:val="auto"/>
          <w:sz w:val="24"/>
          <w:highlight w:val="none"/>
          <w:lang w:val="zh-CN"/>
        </w:rPr>
        <w:t xml:space="preserve">关于资格的声明函</w:t>
      </w:r>
      <w:r>
        <w:rPr>
          <w:rFonts w:hint="eastAsia" w:ascii="仿宋" w:hAnsi="仿宋" w:eastAsia="仿宋"/>
          <w:color w:val="auto"/>
          <w:sz w:val="24"/>
          <w:highlight w:val="none"/>
          <w:lang w:val="zh-CN"/>
        </w:rPr>
        <w:t xml:space="preserve">（提供</w:t>
      </w:r>
      <w:r>
        <w:rPr>
          <w:rFonts w:ascii="仿宋" w:hAnsi="仿宋" w:eastAsia="仿宋"/>
          <w:color w:val="auto"/>
          <w:sz w:val="24"/>
          <w:highlight w:val="none"/>
          <w:lang w:val="zh-CN"/>
        </w:rPr>
        <w:t xml:space="preserve">声明函</w:t>
      </w:r>
      <w:r>
        <w:rPr>
          <w:rFonts w:hint="eastAsia" w:ascii="仿宋" w:hAnsi="仿宋" w:eastAsia="仿宋"/>
          <w:color w:val="auto"/>
          <w:sz w:val="24"/>
          <w:highlight w:val="none"/>
          <w:lang w:val="zh-CN"/>
        </w:rPr>
        <w:t xml:space="preserve">，加盖电子签章）；</w:t>
      </w:r>
      <w:r>
        <w:rPr>
          <w:rFonts w:ascii="仿宋" w:hAnsi="仿宋" w:eastAsia="仿宋"/>
          <w:color w:val="auto"/>
          <w:sz w:val="24"/>
          <w:highlight w:val="none"/>
        </w:rPr>
        <w:t xml:space="preserve"> </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w:t>
      </w:r>
      <w:r>
        <w:rPr>
          <w:rFonts w:hint="eastAsia" w:ascii="仿宋" w:hAnsi="仿宋" w:eastAsia="仿宋"/>
          <w:color w:val="auto"/>
          <w:sz w:val="24"/>
          <w:highlight w:val="none"/>
          <w:lang w:val="zh-CN"/>
        </w:rPr>
        <w:t xml:space="preserve">符合条件（必须提供，否则响应无效）</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16.3.3.1</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rPr>
        <w:t xml:space="preserve">磋商声明</w:t>
      </w:r>
      <w:r>
        <w:rPr>
          <w:rFonts w:hint="eastAsia" w:ascii="仿宋" w:hAnsi="仿宋" w:eastAsia="仿宋"/>
          <w:color w:val="auto"/>
          <w:sz w:val="24"/>
          <w:highlight w:val="none"/>
          <w:lang w:val="zh-CN"/>
        </w:rPr>
        <w:t xml:space="preserve">函》（加盖电子签章，格式见招标文件第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章《响应文件格式》）；</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16.3.3.2</w:t>
      </w:r>
      <w:r>
        <w:rPr>
          <w:rFonts w:hint="eastAsia" w:ascii="仿宋" w:hAnsi="仿宋" w:eastAsia="仿宋"/>
          <w:color w:val="auto"/>
          <w:sz w:val="24"/>
          <w:highlight w:val="none"/>
          <w:lang w:val="zh-CN"/>
        </w:rPr>
        <w:t xml:space="preserve">资信及商务响应表（加盖电子签章，格式见招标文件第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章《响应文件格式》）；</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16.3.3.3</w:t>
      </w:r>
      <w:r>
        <w:rPr>
          <w:rFonts w:hint="eastAsia" w:ascii="仿宋" w:hAnsi="仿宋" w:eastAsia="仿宋"/>
          <w:color w:val="auto"/>
          <w:sz w:val="24"/>
          <w:highlight w:val="none"/>
          <w:lang w:val="zh-CN"/>
        </w:rPr>
        <w:t xml:space="preserve">技术响应（</w:t>
      </w:r>
      <w:r>
        <w:rPr>
          <w:rFonts w:hint="eastAsia" w:ascii="仿宋" w:hAnsi="仿宋" w:eastAsia="仿宋"/>
          <w:color w:val="auto"/>
          <w:sz w:val="24"/>
          <w:highlight w:val="none"/>
        </w:rPr>
        <w:t xml:space="preserve">若有</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章《响应文件相关格式》）；</w:t>
      </w:r>
      <w:r/>
    </w:p>
    <w:p>
      <w:pPr>
        <w:pStyle w:val="1103"/>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16.3.3.4基本服务承诺书</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章《响应文件相关格式》）；</w:t>
      </w:r>
      <w:r/>
    </w:p>
    <w:p>
      <w:pPr>
        <w:pStyle w:val="1103"/>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16.3.3.5政府采购诚信承诺书（加盖电子签章，格式见招标文件第十三章《响应文件相关格式》）。</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 </w:t>
      </w:r>
      <w:r>
        <w:rPr>
          <w:rFonts w:hint="eastAsia" w:ascii="仿宋" w:hAnsi="仿宋" w:eastAsia="仿宋"/>
          <w:color w:val="auto"/>
          <w:sz w:val="24"/>
          <w:highlight w:val="none"/>
        </w:rPr>
        <w:t xml:space="preserve">16.3.4</w:t>
      </w:r>
      <w:r>
        <w:rPr>
          <w:rFonts w:hint="eastAsia" w:ascii="仿宋" w:hAnsi="仿宋" w:eastAsia="仿宋"/>
          <w:color w:val="auto"/>
          <w:sz w:val="24"/>
          <w:highlight w:val="none"/>
          <w:lang w:val="zh-CN"/>
        </w:rPr>
        <w:t xml:space="preserve">综合评审评分项</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16.3.4.1</w:t>
      </w:r>
      <w:r>
        <w:rPr>
          <w:rFonts w:hint="eastAsia" w:ascii="仿宋" w:hAnsi="仿宋" w:eastAsia="仿宋"/>
          <w:color w:val="auto"/>
          <w:sz w:val="24"/>
          <w:highlight w:val="none"/>
          <w:lang w:val="zh-CN"/>
        </w:rPr>
        <w:t xml:space="preserve">报价部分</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16.3.4.1.1</w:t>
      </w:r>
      <w:r>
        <w:rPr>
          <w:rFonts w:hint="eastAsia" w:ascii="仿宋" w:hAnsi="仿宋" w:eastAsia="仿宋"/>
          <w:color w:val="auto"/>
          <w:sz w:val="24"/>
          <w:highlight w:val="none"/>
          <w:lang w:val="zh-CN"/>
        </w:rPr>
        <w:t xml:space="preserve">响应报价明细表（加盖电子签章，格式见招标文件第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章《响应文件格式》）；</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w:t>
      </w:r>
      <w:r>
        <w:rPr>
          <w:rFonts w:hint="eastAsia" w:ascii="仿宋" w:hAnsi="仿宋" w:eastAsia="仿宋"/>
          <w:color w:val="auto"/>
          <w:sz w:val="24"/>
          <w:highlight w:val="none"/>
          <w:lang w:val="zh-CN"/>
        </w:rPr>
        <w:t xml:space="preserve">商务部分</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16.3.4.2.1</w:t>
      </w:r>
      <w:r>
        <w:rPr>
          <w:rFonts w:hint="eastAsia" w:ascii="仿宋" w:hAnsi="仿宋" w:eastAsia="仿宋"/>
          <w:color w:val="auto"/>
          <w:sz w:val="24"/>
          <w:highlight w:val="none"/>
          <w:lang w:val="zh-CN"/>
        </w:rPr>
        <w:t xml:space="preserve">供应商同类项目实施情况一览表（要求见招标文件第</w:t>
      </w:r>
      <w:r>
        <w:rPr>
          <w:rFonts w:hint="eastAsia" w:ascii="仿宋" w:hAnsi="仿宋" w:eastAsia="仿宋"/>
          <w:color w:val="auto"/>
          <w:sz w:val="24"/>
          <w:highlight w:val="none"/>
        </w:rPr>
        <w:t xml:space="preserve">十二</w:t>
      </w:r>
      <w:r>
        <w:rPr>
          <w:rFonts w:hint="eastAsia" w:ascii="仿宋" w:hAnsi="仿宋" w:eastAsia="仿宋"/>
          <w:color w:val="auto"/>
          <w:sz w:val="24"/>
          <w:highlight w:val="none"/>
          <w:lang w:val="zh-CN"/>
        </w:rPr>
        <w:t xml:space="preserve">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16.3.4.2.2</w:t>
      </w:r>
      <w:r>
        <w:rPr>
          <w:rFonts w:hint="eastAsia" w:ascii="仿宋" w:hAnsi="仿宋" w:eastAsia="仿宋"/>
          <w:color w:val="auto"/>
          <w:sz w:val="24"/>
          <w:highlight w:val="none"/>
          <w:lang w:val="zh-CN"/>
        </w:rPr>
        <w:t xml:space="preserve">响应人其他证明文件及材料（要求见招标文件第四章《评标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技术部分</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1响应</w:t>
      </w:r>
      <w:r>
        <w:rPr>
          <w:rFonts w:hint="eastAsia" w:ascii="仿宋" w:hAnsi="仿宋" w:eastAsia="仿宋"/>
          <w:color w:val="auto"/>
          <w:sz w:val="24"/>
          <w:highlight w:val="none"/>
        </w:rPr>
        <w:t xml:space="preserve">服务</w:t>
      </w:r>
      <w:r>
        <w:rPr>
          <w:rFonts w:hint="eastAsia" w:ascii="仿宋" w:hAnsi="仿宋" w:eastAsia="仿宋"/>
          <w:color w:val="auto"/>
          <w:sz w:val="24"/>
          <w:highlight w:val="none"/>
          <w:lang w:val="zh-CN"/>
        </w:rPr>
        <w:t xml:space="preserve">物清单（若有）（要求见招标文件第四章《评标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2项目实施人员（主要从业人员及其技术资格）一览表（如有）；</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3项目实施方案（要求见招标文件第十二章《评标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4供应商认为需提供的其他资料（如有）（要求见招标文件第十二章《评标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注：</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1.响应人应对以上文件的合法性、真实性负责。</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2.签订合同前，中标人必须向采购人提交其响应文件中所有扫描件的原件，采购人核查无误后，签订合同。如中标人不能在采购人规定的时间内向采购人提供原件，将被采购人视为放弃中标资格。</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17</w:t>
      </w:r>
      <w:r>
        <w:rPr>
          <w:rFonts w:hint="eastAsia" w:ascii="仿宋" w:hAnsi="仿宋" w:eastAsia="仿宋" w:cs="仿宋"/>
          <w:b/>
          <w:bCs/>
          <w:color w:val="auto"/>
          <w:sz w:val="28"/>
          <w:szCs w:val="28"/>
          <w:highlight w:val="none"/>
          <w:lang w:val="zh-CN"/>
        </w:rPr>
        <w:t xml:space="preserve">.响应文件的时间单位、有效期以及费用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17</w:t>
      </w:r>
      <w:r>
        <w:rPr>
          <w:rFonts w:hint="eastAsia" w:ascii="仿宋" w:hAnsi="仿宋" w:eastAsia="仿宋" w:cs="仿宋"/>
          <w:color w:val="auto"/>
          <w:sz w:val="24"/>
          <w:highlight w:val="none"/>
          <w:lang w:val="zh-CN"/>
        </w:rPr>
        <w:t xml:space="preserve">.1除磋商文件中另有规定外，响应文件所使用的“天”、“日”均指日历天，时、分均为北京时间。</w:t>
      </w:r>
      <w:r/>
    </w:p>
    <w:p>
      <w:pPr>
        <w:ind w:firstLine="480"/>
        <w:spacing w:line="300" w:lineRule="auto"/>
        <w:tabs>
          <w:tab w:val="left" w:pos="72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17</w:t>
      </w:r>
      <w:r>
        <w:rPr>
          <w:rFonts w:hint="eastAsia" w:ascii="仿宋" w:hAnsi="仿宋" w:eastAsia="仿宋" w:cs="仿宋"/>
          <w:color w:val="auto"/>
          <w:sz w:val="24"/>
          <w:highlight w:val="none"/>
          <w:lang w:val="zh-CN"/>
        </w:rPr>
        <w:t xml:space="preserve">.2响应有效期内响应文件以及其补充、承诺等部分均保持有效。在响应有效期满之前，如果出现特殊情况，采购人或者采购代理机构可在响应有效期内要求供应商延长有效期，要求与答复均以书面</w:t>
      </w:r>
      <w:r>
        <w:rPr>
          <w:rFonts w:hint="eastAsia" w:ascii="仿宋" w:hAnsi="仿宋" w:eastAsia="仿宋" w:cs="仿宋"/>
          <w:color w:val="auto"/>
          <w:sz w:val="24"/>
          <w:highlight w:val="none"/>
        </w:rPr>
        <w:t xml:space="preserve">或网上公示</w:t>
      </w:r>
      <w:r>
        <w:rPr>
          <w:rFonts w:hint="eastAsia" w:ascii="仿宋" w:hAnsi="仿宋" w:eastAsia="仿宋" w:cs="仿宋"/>
          <w:color w:val="auto"/>
          <w:sz w:val="24"/>
          <w:highlight w:val="none"/>
          <w:lang w:val="zh-CN"/>
        </w:rPr>
        <w:t xml:space="preserve">通知为准并作为磋商文件和响应文件的组成部分；供应商可以拒绝上述要求，拒绝延长响应文件有效期的，其响应失效；同意上述要求的，既不能要求也不允许其修改响应文件。</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17</w:t>
      </w:r>
      <w:r>
        <w:rPr>
          <w:rFonts w:hint="eastAsia" w:ascii="仿宋" w:hAnsi="仿宋" w:eastAsia="仿宋" w:cs="仿宋"/>
          <w:color w:val="auto"/>
          <w:sz w:val="24"/>
          <w:highlight w:val="none"/>
          <w:lang w:val="zh-CN"/>
        </w:rPr>
        <w:t xml:space="preserve">.3供应商应自行承担其准备和参加竞争性磋商活动发生的所有费用。不论响应结果如何，采购人或者采购代理机构不承担任何费用。</w:t>
      </w:r>
      <w:r/>
    </w:p>
    <w:p>
      <w:pPr>
        <w:keepLines/>
        <w:keepNex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18</w:t>
      </w:r>
      <w:r>
        <w:rPr>
          <w:rFonts w:hint="eastAsia" w:ascii="仿宋" w:hAnsi="仿宋" w:eastAsia="仿宋" w:cs="仿宋"/>
          <w:b/>
          <w:bCs/>
          <w:color w:val="auto"/>
          <w:sz w:val="28"/>
          <w:szCs w:val="28"/>
          <w:highlight w:val="none"/>
          <w:lang w:val="zh-CN"/>
        </w:rPr>
        <w:t xml:space="preserve">.响应文件格式以及编制要求</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供应商同时对多个标段响应的，响应文件应按所响应段分别编制。根据有关规定，响应文件按照以下要求、格式统一编制：</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18.1 电子投标文件的递交</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供应商应当按照《江苏省政府采购管理交易系统（苏采云）供应商操作手册》规定，在投标截止时间前制作并上传电子投标文件。</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18.2投标截止日期</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18.2.1供应商上传电子投标文件的时间不得迟于招标公告中规定的投标截止时间。</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供应商应充分考虑到网络环境、网络带宽等风险因素，如因供应商自身原因造成的电子投标文件上传不成功由供应商自行承担全部责任。</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18.2.2采购人或采购代理机构可以按照规定，通过修改招标文件酌情延长投标截止日期，在此情况下，供应商的所有权利和义务以及供应商受制的截止日期均应以延长后新的截止日期为准。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18</w:t>
      </w:r>
      <w:r>
        <w:rPr>
          <w:rFonts w:hint="eastAsia" w:ascii="仿宋" w:hAnsi="仿宋" w:eastAsia="仿宋" w:cs="仿宋"/>
          <w:color w:val="auto"/>
          <w:sz w:val="24"/>
          <w:highlight w:val="none"/>
          <w:lang w:val="zh-CN"/>
        </w:rPr>
        <w:t xml:space="preserve">.2响应文件内容。供应商应按照磋商文件的要求以及格式编写响应文件；对磋商文件要求填写的表格或者资料不得缺少或者留空。</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18</w:t>
      </w:r>
      <w:r>
        <w:rPr>
          <w:rFonts w:hint="eastAsia" w:ascii="仿宋" w:hAnsi="仿宋" w:eastAsia="仿宋" w:cs="仿宋"/>
          <w:color w:val="auto"/>
          <w:sz w:val="24"/>
          <w:highlight w:val="none"/>
          <w:lang w:val="zh-CN"/>
        </w:rPr>
        <w:t xml:space="preserve">.4.1</w:t>
      </w:r>
      <w:r>
        <w:rPr>
          <w:rFonts w:hint="eastAsia" w:ascii="仿宋" w:hAnsi="仿宋" w:eastAsia="仿宋" w:cs="仿宋"/>
          <w:b/>
          <w:color w:val="auto"/>
          <w:sz w:val="24"/>
          <w:highlight w:val="none"/>
          <w:u w:val="single"/>
          <w:lang w:val="zh-CN"/>
        </w:rPr>
        <w:t xml:space="preserve"> 供应商应将响应书按供应商须知前附表的有关规定执行。</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18</w:t>
      </w:r>
      <w:r>
        <w:rPr>
          <w:rFonts w:hint="eastAsia" w:ascii="仿宋" w:hAnsi="仿宋" w:eastAsia="仿宋" w:cs="仿宋"/>
          <w:color w:val="auto"/>
          <w:sz w:val="24"/>
          <w:highlight w:val="none"/>
          <w:lang w:val="zh-CN"/>
        </w:rPr>
        <w:t xml:space="preserve">.5供应商可对供货现场以及其范围环境进行考察，以获取有关编制响应文件和签署实施合同所需的各项资料，供应商应承担现场考察的费用、责任和风险。</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18</w:t>
      </w:r>
      <w:r>
        <w:rPr>
          <w:rFonts w:hint="eastAsia" w:ascii="仿宋" w:hAnsi="仿宋" w:eastAsia="仿宋" w:cs="仿宋"/>
          <w:color w:val="auto"/>
          <w:sz w:val="24"/>
          <w:highlight w:val="none"/>
          <w:lang w:val="zh-CN"/>
        </w:rPr>
        <w:t xml:space="preserve">.6供应商编制响应文件时，若有偏离之处，请如实在商务或者技术偏离表中注明。</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18</w:t>
      </w:r>
      <w:r>
        <w:rPr>
          <w:rFonts w:hint="eastAsia" w:ascii="仿宋" w:hAnsi="仿宋" w:eastAsia="仿宋" w:cs="仿宋"/>
          <w:color w:val="auto"/>
          <w:sz w:val="24"/>
          <w:highlight w:val="none"/>
          <w:lang w:val="zh-CN"/>
        </w:rPr>
        <w:t xml:space="preserve">.7除磋商文件另有规定外，供应商不得递交备选磋商方案。允许供应商递交备选磋商方案的，只有成交供应商所递交的备选磋商方案方可予以考虑。磋商小组认为成交供应商的备选磋商方案优于其按照磋商文件要求编制的磋商方案的，采购人可以接受该备选磋商方案。</w:t>
      </w:r>
      <w:r/>
    </w:p>
    <w:p>
      <w:pPr>
        <w:keepLines/>
        <w:keepNex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19</w:t>
      </w:r>
      <w:r>
        <w:rPr>
          <w:rFonts w:hint="eastAsia" w:ascii="仿宋" w:hAnsi="仿宋" w:eastAsia="仿宋" w:cs="仿宋"/>
          <w:b/>
          <w:bCs/>
          <w:color w:val="auto"/>
          <w:sz w:val="28"/>
          <w:szCs w:val="28"/>
          <w:highlight w:val="none"/>
          <w:lang w:val="zh-CN"/>
        </w:rPr>
        <w:t xml:space="preserve">.响应文件的组成</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供应商应按照磋商文件的要求以及格式编制响应文件，并保证其真实性、准确性以及完整性，并按照磋商文件要求提交全部资料并做出实质性响应，否则其响应无效。</w:t>
      </w:r>
      <w:r/>
    </w:p>
    <w:p>
      <w:pPr>
        <w:ind w:firstLine="480"/>
        <w:spacing w:line="300" w:lineRule="auto"/>
        <w:rPr>
          <w:rFonts w:ascii="仿宋" w:hAnsi="仿宋" w:eastAsia="仿宋" w:cs="仿宋"/>
          <w:b/>
          <w:color w:val="auto"/>
          <w:sz w:val="24"/>
          <w:highlight w:val="none"/>
          <w:lang w:val="zh-CN"/>
        </w:rPr>
      </w:pPr>
      <w:r>
        <w:rPr>
          <w:rFonts w:hint="eastAsia" w:ascii="仿宋" w:hAnsi="仿宋" w:eastAsia="仿宋" w:cs="仿宋"/>
          <w:b/>
          <w:color w:val="auto"/>
          <w:sz w:val="24"/>
          <w:highlight w:val="none"/>
        </w:rPr>
        <w:t xml:space="preserve">19.1</w:t>
      </w:r>
      <w:r>
        <w:rPr>
          <w:rFonts w:hint="eastAsia" w:ascii="仿宋" w:hAnsi="仿宋" w:eastAsia="仿宋" w:cs="仿宋"/>
          <w:b/>
          <w:color w:val="auto"/>
          <w:sz w:val="24"/>
          <w:highlight w:val="none"/>
          <w:lang w:val="zh-CN"/>
        </w:rPr>
        <w:t xml:space="preserve">响应文件的组成</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1.1首轮报价一览表</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1.2授权委托书</w:t>
      </w:r>
      <w:r>
        <w:rPr>
          <w:rFonts w:ascii="仿宋" w:hAnsi="仿宋" w:eastAsia="仿宋"/>
          <w:color w:val="auto"/>
          <w:sz w:val="24"/>
          <w:highlight w:val="none"/>
          <w:lang w:val="zh-CN"/>
        </w:rPr>
        <w:t xml:space="preserve">；</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1.3资格证明文件（详见第十三章《投标文件格式》）</w:t>
      </w:r>
      <w:r>
        <w:rPr>
          <w:rFonts w:ascii="仿宋" w:hAnsi="仿宋" w:eastAsia="仿宋"/>
          <w:color w:val="auto"/>
          <w:sz w:val="24"/>
          <w:highlight w:val="none"/>
          <w:lang w:val="zh-CN"/>
        </w:rPr>
        <w:t xml:space="preserve">；</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1.4符合证明文件（详见第十三章《投标文件格式》）</w:t>
      </w:r>
      <w:r>
        <w:rPr>
          <w:rFonts w:hint="eastAsia" w:ascii="仿宋" w:hAnsi="仿宋" w:eastAsia="仿宋"/>
          <w:color w:val="auto"/>
          <w:sz w:val="24"/>
          <w:highlight w:val="none"/>
          <w:lang w:val="zh-CN"/>
        </w:rPr>
        <w:t xml:space="preserve">；</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19.1.5</w:t>
      </w:r>
      <w:r>
        <w:rPr>
          <w:rFonts w:hint="eastAsia" w:ascii="仿宋" w:hAnsi="仿宋" w:eastAsia="仿宋"/>
          <w:color w:val="auto"/>
          <w:sz w:val="24"/>
          <w:highlight w:val="none"/>
          <w:lang w:val="zh-CN"/>
        </w:rPr>
        <w:t xml:space="preserve">综合评审评分项</w:t>
      </w:r>
      <w:r>
        <w:rPr>
          <w:rFonts w:hint="eastAsia" w:ascii="仿宋" w:hAnsi="仿宋" w:eastAsia="仿宋"/>
          <w:color w:val="auto"/>
          <w:sz w:val="24"/>
          <w:highlight w:val="none"/>
        </w:rPr>
        <w:t xml:space="preserve">证明材料（详见第十三章《投标文件格式》）；</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1.6磋商</w:t>
      </w:r>
      <w:r>
        <w:rPr>
          <w:rFonts w:ascii="仿宋" w:hAnsi="仿宋" w:eastAsia="仿宋"/>
          <w:color w:val="auto"/>
          <w:sz w:val="24"/>
          <w:highlight w:val="none"/>
          <w:lang w:val="zh-CN"/>
        </w:rPr>
        <w:t xml:space="preserve">文件要求或者供应商认为其它应介绍或者提交的资料和文件</w:t>
      </w:r>
      <w:r>
        <w:rPr>
          <w:rFonts w:hint="eastAsia" w:ascii="仿宋" w:hAnsi="仿宋" w:eastAsia="仿宋"/>
          <w:color w:val="auto"/>
          <w:sz w:val="24"/>
          <w:highlight w:val="none"/>
          <w:lang w:val="zh-CN"/>
        </w:rPr>
        <w:t xml:space="preserve">；</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服务符合招标文件规定的技术资料。</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b/>
          <w:color w:val="auto"/>
          <w:sz w:val="24"/>
          <w:highlight w:val="none"/>
        </w:rPr>
        <w:t xml:space="preserve">19.2</w:t>
      </w:r>
      <w:r>
        <w:rPr>
          <w:rFonts w:hint="eastAsia" w:ascii="仿宋" w:hAnsi="仿宋" w:eastAsia="仿宋" w:cs="仿宋"/>
          <w:b/>
          <w:color w:val="auto"/>
          <w:sz w:val="24"/>
          <w:highlight w:val="none"/>
          <w:lang w:val="zh-CN"/>
        </w:rPr>
        <w:t xml:space="preserve">磋商文件其它规定或者供应商认为应介绍或者提交的资料和文件。</w:t>
      </w:r>
      <w:r/>
    </w:p>
    <w:p>
      <w:pPr>
        <w:keepLines/>
        <w:keepNex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20</w:t>
      </w:r>
      <w:r>
        <w:rPr>
          <w:rFonts w:hint="eastAsia" w:ascii="仿宋" w:hAnsi="仿宋" w:eastAsia="仿宋" w:cs="仿宋"/>
          <w:b/>
          <w:bCs/>
          <w:color w:val="auto"/>
          <w:sz w:val="28"/>
          <w:szCs w:val="28"/>
          <w:highlight w:val="none"/>
          <w:lang w:val="zh-CN"/>
        </w:rPr>
        <w:t xml:space="preserve">.磋商保证金</w:t>
      </w:r>
      <w:r/>
    </w:p>
    <w:p>
      <w:pPr>
        <w:ind w:firstLine="480"/>
        <w:spacing w:line="300" w:lineRule="auto"/>
        <w:rPr>
          <w:rFonts w:ascii="仿宋" w:hAnsi="仿宋" w:eastAsia="仿宋" w:cs="仿宋"/>
          <w:bCs/>
          <w:color w:val="auto"/>
          <w:sz w:val="24"/>
          <w:szCs w:val="28"/>
          <w:highlight w:val="none"/>
          <w:lang w:val="zh-CN"/>
        </w:rPr>
      </w:pPr>
      <w:r>
        <w:rPr>
          <w:rFonts w:hint="eastAsia" w:ascii="仿宋" w:hAnsi="仿宋" w:eastAsia="仿宋" w:cs="仿宋"/>
          <w:bCs/>
          <w:color w:val="auto"/>
          <w:sz w:val="24"/>
          <w:szCs w:val="28"/>
          <w:highlight w:val="none"/>
          <w:lang w:val="zh-CN"/>
        </w:rPr>
        <w:t xml:space="preserve">参照省财政厅《关于做好政府采购支持企业发展有关事项的通知》（苏财购【2020】52号）规定，无磋商保证金要求。</w:t>
      </w:r>
      <w:bookmarkEnd w:id="40"/>
      <w:r/>
      <w:r/>
    </w:p>
    <w:p>
      <w:pPr>
        <w:pStyle w:val="1159"/>
        <w:rPr>
          <w:color w:val="auto"/>
          <w:highlight w:val="none"/>
          <w:lang w:val="zh-CN"/>
        </w:rPr>
      </w:pPr>
      <w:r>
        <w:rPr>
          <w:color w:val="auto"/>
          <w:highlight w:val="none"/>
          <w:lang w:val="zh-CN"/>
        </w:rPr>
      </w:r>
      <w:r/>
    </w:p>
    <w:p>
      <w:pPr>
        <w:pStyle w:val="1099"/>
        <w:jc w:val="center"/>
        <w:spacing w:before="0" w:after="0" w:line="300" w:lineRule="auto"/>
        <w:rPr>
          <w:rFonts w:ascii="仿宋" w:hAnsi="仿宋" w:eastAsia="仿宋" w:cs="仿宋"/>
          <w:color w:val="auto"/>
          <w:highlight w:val="none"/>
          <w:lang w:val="zh-CN"/>
        </w:rPr>
      </w:pPr>
      <w:r/>
      <w:bookmarkStart w:id="54" w:name="_Toc329009666"/>
      <w:r>
        <w:rPr>
          <w:rFonts w:hint="eastAsia" w:ascii="仿宋" w:hAnsi="仿宋" w:eastAsia="仿宋" w:cs="仿宋"/>
          <w:color w:val="auto"/>
          <w:sz w:val="28"/>
          <w:szCs w:val="28"/>
          <w:highlight w:val="none"/>
        </w:rPr>
        <w:t xml:space="preserve">第四章  供应商应当提交的资格、资信证明文件</w:t>
      </w:r>
      <w:bookmarkEnd w:id="54"/>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21</w:t>
      </w:r>
      <w:r>
        <w:rPr>
          <w:rFonts w:hint="eastAsia" w:ascii="仿宋" w:hAnsi="仿宋" w:eastAsia="仿宋" w:cs="仿宋"/>
          <w:b/>
          <w:bCs/>
          <w:color w:val="auto"/>
          <w:sz w:val="28"/>
          <w:szCs w:val="28"/>
          <w:highlight w:val="none"/>
          <w:lang w:val="zh-CN"/>
        </w:rPr>
        <w:t xml:space="preserve">.供应商必须提供下列证明材料，如未能提供相关资格证明材料，则其所磋商响应书无效。</w:t>
      </w:r>
      <w:bookmarkEnd w:id="41"/>
      <w:r/>
      <w:bookmarkStart w:id="55" w:name="_Toc329009673"/>
      <w:r/>
      <w:bookmarkStart w:id="56" w:name="_Toc294814447"/>
      <w:r/>
      <w:bookmarkStart w:id="57" w:name="_Toc309596157"/>
      <w:r/>
      <w:bookmarkStart w:id="58" w:name="_Toc365752095"/>
      <w:r/>
      <w:bookmarkStart w:id="59" w:name="_Toc292632465"/>
      <w:r/>
      <w:bookmarkStart w:id="60" w:name="_Toc365292223"/>
      <w:r/>
      <w:bookmarkStart w:id="61" w:name="_Toc228850282"/>
      <w:r/>
      <w:bookmarkStart w:id="62" w:name="_Toc245133950"/>
      <w:r/>
      <w:bookmarkStart w:id="63" w:name="_Toc294814255"/>
      <w:r/>
      <w:bookmarkStart w:id="64" w:name="_Toc294814633"/>
      <w:r/>
      <w:bookmarkStart w:id="65" w:name="_Toc294814069"/>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b/>
          <w:color w:val="auto"/>
          <w:sz w:val="24"/>
          <w:highlight w:val="none"/>
          <w:u w:val="single"/>
          <w:lang w:val="zh-CN"/>
        </w:rPr>
        <w:t xml:space="preserve">见磋商公告供应商资质及有关要求。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供应商所提供的证明材料若违反下列规定情形之一的，其响应无效。</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21</w:t>
      </w:r>
      <w:r>
        <w:rPr>
          <w:rFonts w:ascii="仿宋" w:hAnsi="仿宋" w:eastAsia="仿宋" w:cs="仿宋"/>
          <w:color w:val="auto"/>
          <w:sz w:val="24"/>
          <w:highlight w:val="none"/>
          <w:lang w:val="zh-CN"/>
        </w:rPr>
        <w:t xml:space="preserve">.1</w:t>
      </w:r>
      <w:r>
        <w:rPr>
          <w:rFonts w:hint="eastAsia" w:ascii="仿宋" w:hAnsi="仿宋" w:eastAsia="仿宋" w:cs="仿宋"/>
          <w:color w:val="auto"/>
          <w:sz w:val="24"/>
          <w:highlight w:val="none"/>
          <w:lang w:val="zh-CN"/>
        </w:rPr>
        <w:t xml:space="preserve">供应商提供的资格证明材料必须真实、有效、齐全、完整，其中的字体、印章要清晰。</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21</w:t>
      </w:r>
      <w:r>
        <w:rPr>
          <w:rFonts w:ascii="仿宋" w:hAnsi="仿宋" w:eastAsia="仿宋" w:cs="仿宋"/>
          <w:color w:val="auto"/>
          <w:sz w:val="24"/>
          <w:highlight w:val="none"/>
          <w:lang w:val="zh-CN"/>
        </w:rPr>
        <w:t xml:space="preserve">.2</w:t>
      </w:r>
      <w:r>
        <w:rPr>
          <w:rFonts w:hint="eastAsia" w:ascii="仿宋" w:hAnsi="仿宋" w:eastAsia="仿宋" w:cs="仿宋"/>
          <w:color w:val="auto"/>
          <w:sz w:val="24"/>
          <w:highlight w:val="none"/>
          <w:lang w:val="zh-CN"/>
        </w:rPr>
        <w:t xml:space="preserve">营业执照副本等在年检期间无法提供的，必须提供由发证机关出具证明材料或者由公证机关出具的公证件。</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21</w:t>
      </w:r>
      <w:r>
        <w:rPr>
          <w:rFonts w:ascii="仿宋" w:hAnsi="仿宋" w:eastAsia="仿宋" w:cs="仿宋"/>
          <w:color w:val="auto"/>
          <w:sz w:val="24"/>
          <w:highlight w:val="none"/>
          <w:lang w:val="zh-CN"/>
        </w:rPr>
        <w:t xml:space="preserve">.3</w:t>
      </w:r>
      <w:r>
        <w:rPr>
          <w:rFonts w:hint="eastAsia" w:ascii="仿宋" w:hAnsi="仿宋" w:eastAsia="仿宋" w:cs="仿宋"/>
          <w:color w:val="auto"/>
          <w:sz w:val="24"/>
          <w:highlight w:val="none"/>
          <w:lang w:val="zh-CN"/>
        </w:rPr>
        <w:t xml:space="preserve">要求提供的证明材料</w:t>
      </w:r>
      <w:r>
        <w:rPr>
          <w:rFonts w:hint="eastAsia" w:ascii="仿宋" w:hAnsi="仿宋" w:eastAsia="仿宋" w:cs="仿宋"/>
          <w:color w:val="auto"/>
          <w:sz w:val="24"/>
          <w:highlight w:val="none"/>
        </w:rPr>
        <w:t xml:space="preserve">须</w:t>
      </w:r>
      <w:r>
        <w:rPr>
          <w:rFonts w:hint="eastAsia" w:ascii="仿宋" w:hAnsi="仿宋" w:eastAsia="仿宋" w:cs="仿宋"/>
          <w:color w:val="auto"/>
          <w:sz w:val="24"/>
          <w:highlight w:val="none"/>
          <w:lang w:val="zh-CN"/>
        </w:rPr>
        <w:t xml:space="preserve">为扫描件。</w:t>
      </w:r>
      <w:r/>
    </w:p>
    <w:p>
      <w:pPr>
        <w:ind w:firstLine="482"/>
        <w:spacing w:line="300" w:lineRule="auto"/>
        <w:rPr>
          <w:rFonts w:ascii="仿宋" w:hAnsi="仿宋" w:eastAsia="仿宋" w:cs="仿宋"/>
          <w:b/>
          <w:color w:val="auto"/>
          <w:sz w:val="24"/>
          <w:highlight w:val="none"/>
          <w:u w:val="single"/>
          <w:lang w:val="zh-CN"/>
        </w:rPr>
      </w:pPr>
      <w:r>
        <w:rPr>
          <w:rFonts w:ascii="仿宋" w:hAnsi="仿宋" w:eastAsia="仿宋" w:cs="仿宋"/>
          <w:b/>
          <w:color w:val="auto"/>
          <w:sz w:val="24"/>
          <w:highlight w:val="none"/>
          <w:u w:val="single"/>
          <w:lang w:val="zh-CN"/>
        </w:rPr>
      </w:r>
      <w:r/>
    </w:p>
    <w:p>
      <w:pPr>
        <w:pStyle w:val="1099"/>
        <w:jc w:val="center"/>
        <w:spacing w:before="0" w:after="0" w:line="30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第五章  响应截止时间、开标时间以及地点</w:t>
      </w:r>
      <w:r/>
    </w:p>
    <w:p>
      <w:pPr>
        <w:spacing w:line="300" w:lineRule="auto"/>
        <w:rPr>
          <w:rFonts w:ascii="仿宋" w:hAnsi="仿宋" w:eastAsia="仿宋" w:cs="仿宋"/>
          <w:b/>
          <w:bCs/>
          <w:color w:val="auto"/>
          <w:sz w:val="28"/>
          <w:szCs w:val="28"/>
          <w:highlight w:val="none"/>
          <w:lang w:val="zh-CN"/>
        </w:rPr>
      </w:pPr>
      <w:r/>
      <w:bookmarkStart w:id="66" w:name="_Toc329009668"/>
      <w:r>
        <w:rPr>
          <w:rFonts w:hint="eastAsia" w:ascii="仿宋" w:hAnsi="仿宋" w:eastAsia="仿宋" w:cs="仿宋"/>
          <w:b/>
          <w:bCs/>
          <w:color w:val="auto"/>
          <w:sz w:val="28"/>
          <w:szCs w:val="28"/>
          <w:highlight w:val="none"/>
        </w:rPr>
        <w:t xml:space="preserve">22</w:t>
      </w:r>
      <w:r>
        <w:rPr>
          <w:rFonts w:hint="eastAsia" w:ascii="仿宋" w:hAnsi="仿宋" w:eastAsia="仿宋" w:cs="仿宋"/>
          <w:b/>
          <w:bCs/>
          <w:color w:val="auto"/>
          <w:sz w:val="28"/>
          <w:szCs w:val="28"/>
          <w:highlight w:val="none"/>
          <w:lang w:val="zh-CN"/>
        </w:rPr>
        <w:t xml:space="preserve">.响应文件的递交</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w:t>
      </w:r>
      <w:r>
        <w:rPr>
          <w:rFonts w:hint="eastAsia" w:ascii="仿宋" w:hAnsi="仿宋" w:eastAsia="仿宋" w:cs="仿宋"/>
          <w:color w:val="auto"/>
          <w:sz w:val="24"/>
          <w:highlight w:val="none"/>
          <w:lang w:val="zh-CN"/>
        </w:rPr>
        <w:t xml:space="preserve">.1供应商就在</w:t>
      </w:r>
      <w:r>
        <w:rPr>
          <w:rFonts w:hint="eastAsia" w:ascii="仿宋" w:hAnsi="仿宋" w:eastAsia="仿宋" w:cs="仿宋"/>
          <w:color w:val="auto"/>
          <w:sz w:val="24"/>
          <w:highlight w:val="none"/>
        </w:rPr>
        <w:t xml:space="preserve">供应商须知</w:t>
      </w:r>
      <w:r>
        <w:rPr>
          <w:rFonts w:hint="eastAsia" w:ascii="仿宋" w:hAnsi="仿宋" w:eastAsia="仿宋" w:cs="仿宋"/>
          <w:color w:val="auto"/>
          <w:sz w:val="24"/>
          <w:highlight w:val="none"/>
          <w:lang w:val="zh-CN"/>
        </w:rPr>
        <w:t xml:space="preserve">前附表规定的响应截止时间前递交响应文件。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w:t>
      </w:r>
      <w:r>
        <w:rPr>
          <w:rFonts w:hint="eastAsia" w:ascii="仿宋" w:hAnsi="仿宋" w:eastAsia="仿宋" w:cs="仿宋"/>
          <w:color w:val="auto"/>
          <w:sz w:val="24"/>
          <w:highlight w:val="none"/>
          <w:lang w:val="zh-CN"/>
        </w:rPr>
        <w:t xml:space="preserve">.2开标时间、地点：见供应商须知前附表规定。</w:t>
      </w:r>
      <w:r/>
    </w:p>
    <w:p>
      <w:pPr>
        <w:ind w:firstLine="482"/>
        <w:spacing w:line="300" w:lineRule="auto"/>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rPr>
        <w:t xml:space="preserve">22</w:t>
      </w:r>
      <w:r>
        <w:rPr>
          <w:rFonts w:hint="eastAsia" w:ascii="仿宋" w:hAnsi="仿宋" w:eastAsia="仿宋" w:cs="仿宋"/>
          <w:b/>
          <w:bCs/>
          <w:color w:val="auto"/>
          <w:sz w:val="24"/>
          <w:highlight w:val="none"/>
          <w:lang w:val="zh-CN"/>
        </w:rPr>
        <w:t xml:space="preserve">.3密封（加密）要求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22.3.1</w:t>
      </w:r>
      <w:r>
        <w:rPr>
          <w:rFonts w:hint="eastAsia" w:ascii="仿宋" w:hAnsi="仿宋" w:eastAsia="仿宋" w:cs="仿宋"/>
          <w:color w:val="auto"/>
          <w:sz w:val="24"/>
          <w:highlight w:val="none"/>
          <w:lang w:val="zh-CN"/>
        </w:rPr>
        <w:t xml:space="preserve"> 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22.3.2</w:t>
      </w:r>
      <w:r>
        <w:rPr>
          <w:rFonts w:hint="eastAsia" w:ascii="仿宋" w:hAnsi="仿宋" w:eastAsia="仿宋" w:cs="仿宋"/>
          <w:color w:val="auto"/>
          <w:sz w:val="24"/>
          <w:highlight w:val="none"/>
          <w:lang w:val="zh-CN"/>
        </w:rPr>
        <w:t xml:space="preserve"> 签署要求：见《磋商文件》附件中相关格式要求。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22.3.3</w:t>
      </w:r>
      <w:r>
        <w:rPr>
          <w:rFonts w:hint="eastAsia" w:ascii="仿宋" w:hAnsi="仿宋" w:eastAsia="仿宋" w:cs="仿宋"/>
          <w:color w:val="auto"/>
          <w:sz w:val="24"/>
          <w:highlight w:val="none"/>
          <w:lang w:val="zh-CN"/>
        </w:rPr>
        <w:t xml:space="preserve">盖章要求：见《磋商文件》附件中相关格式要求。供应商须通过“苏采云”系统提供的政府采购客户端工具（使用“CA数字证书”）加盖电子签章。</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22.3.4</w:t>
      </w:r>
      <w:r>
        <w:rPr>
          <w:rFonts w:hint="eastAsia" w:ascii="仿宋" w:hAnsi="仿宋" w:eastAsia="仿宋" w:cs="仿宋"/>
          <w:color w:val="auto"/>
          <w:sz w:val="24"/>
          <w:highlight w:val="none"/>
          <w:lang w:val="zh-CN"/>
        </w:rPr>
        <w:t xml:space="preserve"> </w:t>
      </w:r>
      <w:r>
        <w:rPr>
          <w:rFonts w:hint="eastAsia" w:ascii="仿宋" w:hAnsi="仿宋" w:eastAsia="仿宋" w:cs="仿宋"/>
          <w:b/>
          <w:bCs/>
          <w:color w:val="auto"/>
          <w:sz w:val="24"/>
          <w:highlight w:val="none"/>
          <w:lang w:val="zh-CN"/>
        </w:rPr>
        <w:t xml:space="preserve">特别提醒：</w:t>
      </w:r>
      <w:r>
        <w:rPr>
          <w:rFonts w:hint="eastAsia" w:ascii="仿宋" w:hAnsi="仿宋" w:eastAsia="仿宋" w:cs="仿宋"/>
          <w:color w:val="auto"/>
          <w:sz w:val="24"/>
          <w:highlight w:val="none"/>
          <w:lang w:val="zh-CN"/>
        </w:rPr>
        <w:t xml:space="preserve">竞争性磋商文件中如需“被授权代表签字或盖章”，供应商可打印成文档，签字或盖章后再扫描上传，最后再电子签章。</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b/>
          <w:bCs/>
          <w:color w:val="auto"/>
          <w:sz w:val="24"/>
          <w:highlight w:val="none"/>
        </w:rPr>
        <w:t xml:space="preserve">22.3.5</w:t>
      </w:r>
      <w:r>
        <w:rPr>
          <w:rFonts w:hint="eastAsia" w:ascii="仿宋" w:hAnsi="仿宋" w:eastAsia="仿宋" w:cs="仿宋"/>
          <w:b/>
          <w:bCs/>
          <w:color w:val="auto"/>
          <w:sz w:val="24"/>
          <w:highlight w:val="none"/>
          <w:lang w:val="zh-CN"/>
        </w:rPr>
        <w:t xml:space="preserve">响应文件的递交</w:t>
      </w:r>
      <w:r/>
    </w:p>
    <w:p>
      <w:pPr>
        <w:ind w:firstLine="480"/>
        <w:spacing w:line="300" w:lineRule="auto"/>
        <w:rPr>
          <w:rFonts w:ascii="仿宋" w:hAnsi="仿宋" w:eastAsia="仿宋" w:cs="仿宋"/>
          <w:color w:val="auto"/>
          <w:sz w:val="24"/>
          <w:highlight w:val="none"/>
          <w:lang w:val="zh-CN"/>
        </w:rPr>
      </w:pPr>
      <w:r/>
      <w:bookmarkStart w:id="67" w:name="4.3.响应文件的修改和撤回"/>
      <w:r/>
      <w:bookmarkEnd w:id="67"/>
      <w:r>
        <w:rPr>
          <w:rFonts w:hint="eastAsia" w:ascii="仿宋" w:hAnsi="仿宋" w:eastAsia="仿宋" w:cs="仿宋"/>
          <w:color w:val="auto"/>
          <w:sz w:val="24"/>
          <w:highlight w:val="none"/>
        </w:rPr>
        <w:t xml:space="preserve">22.3.5.1</w:t>
      </w:r>
      <w:r>
        <w:rPr>
          <w:rFonts w:hint="eastAsia" w:ascii="仿宋" w:hAnsi="仿宋" w:eastAsia="仿宋" w:cs="仿宋"/>
          <w:color w:val="auto"/>
          <w:sz w:val="24"/>
          <w:highlight w:val="none"/>
          <w:lang w:val="zh-CN"/>
        </w:rPr>
        <w:t xml:space="preserve">本项目通过“苏采云”系统进行电子采购，即供应商响应文件从政府采购客户端工具制作并通过“苏采云”系统提交外。</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22.3.5.2</w:t>
      </w:r>
      <w:r>
        <w:rPr>
          <w:rFonts w:hint="eastAsia" w:ascii="仿宋" w:hAnsi="仿宋" w:eastAsia="仿宋" w:cs="仿宋"/>
          <w:color w:val="auto"/>
          <w:sz w:val="24"/>
          <w:highlight w:val="none"/>
          <w:lang w:val="zh-CN"/>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22.3.5.3</w:t>
      </w:r>
      <w:r>
        <w:rPr>
          <w:rFonts w:hint="eastAsia" w:ascii="仿宋" w:hAnsi="仿宋" w:eastAsia="仿宋" w:cs="仿宋"/>
          <w:color w:val="auto"/>
          <w:sz w:val="24"/>
          <w:highlight w:val="none"/>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22.3.5.4</w:t>
      </w:r>
      <w:r>
        <w:rPr>
          <w:rFonts w:hint="eastAsia" w:ascii="仿宋" w:hAnsi="仿宋" w:eastAsia="仿宋" w:cs="仿宋"/>
          <w:color w:val="auto"/>
          <w:sz w:val="24"/>
          <w:highlight w:val="none"/>
          <w:lang w:val="zh-CN"/>
        </w:rPr>
        <w:t xml:space="preserve">使用需要第三方认证的电子签名、数据电文，通过互联网方式提交首次响应文件。即：使用“电子签名认证证书（CA数字证书）”登录“苏采云”系统（网址：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仿宋" w:hAnsi="仿宋" w:eastAsia="仿宋" w:cs="仿宋"/>
          <w:color w:val="auto"/>
          <w:sz w:val="24"/>
          <w:highlight w:val="none"/>
          <w:lang w:val="zh-CN"/>
        </w:rPr>
        <w:t xml:space="preserve">http://jszfcg.jsczt.cn/</w:t>
      </w:r>
      <w:r>
        <w:rPr>
          <w:rFonts w:hint="eastAsia" w:ascii="仿宋" w:hAnsi="仿宋" w:eastAsia="仿宋" w:cs="仿宋"/>
          <w:color w:val="auto"/>
          <w:sz w:val="24"/>
          <w:highlight w:val="none"/>
          <w:lang w:val="zh-CN"/>
        </w:rPr>
        <w:fldChar w:fldCharType="end"/>
      </w:r>
      <w:r>
        <w:rPr>
          <w:rFonts w:hint="eastAsia" w:ascii="仿宋" w:hAnsi="仿宋" w:eastAsia="仿宋" w:cs="仿宋"/>
          <w:color w:val="auto"/>
          <w:sz w:val="24"/>
          <w:highlight w:val="none"/>
          <w:lang w:val="zh-CN"/>
        </w:rPr>
        <w:t xml:space="preserve">，点击“苏采云”进入系统），按照要求通过互联网方式提交首次响应文件。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22.3.5.5</w:t>
      </w:r>
      <w:r>
        <w:rPr>
          <w:rFonts w:hint="eastAsia" w:ascii="仿宋" w:hAnsi="仿宋" w:eastAsia="仿宋" w:cs="仿宋"/>
          <w:color w:val="auto"/>
          <w:sz w:val="24"/>
          <w:highlight w:val="none"/>
          <w:lang w:val="zh-CN"/>
        </w:rPr>
        <w:t xml:space="preserve">“苏采云”系统使用要求：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22.3.5.5.1</w:t>
      </w:r>
      <w:r>
        <w:rPr>
          <w:rFonts w:hint="eastAsia" w:ascii="仿宋" w:hAnsi="仿宋" w:eastAsia="仿宋" w:cs="仿宋"/>
          <w:color w:val="auto"/>
          <w:sz w:val="24"/>
          <w:highlight w:val="none"/>
          <w:lang w:val="zh-CN"/>
        </w:rPr>
        <w:t xml:space="preserve">使用谷歌浏览器参与不见面开标及磋商环节。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22.3.5.5.2</w:t>
      </w:r>
      <w:r>
        <w:rPr>
          <w:rFonts w:hint="eastAsia" w:ascii="仿宋" w:hAnsi="仿宋" w:eastAsia="仿宋" w:cs="仿宋"/>
          <w:color w:val="auto"/>
          <w:sz w:val="24"/>
          <w:highlight w:val="none"/>
          <w:lang w:val="zh-CN"/>
        </w:rPr>
        <w:t xml:space="preserve">电脑需提前准备好麦克风、音响，摄像头，提前检查保证能够正常使用。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22.3.5.5.3</w:t>
      </w:r>
      <w:r>
        <w:rPr>
          <w:rFonts w:hint="eastAsia" w:ascii="仿宋" w:hAnsi="仿宋" w:eastAsia="仿宋" w:cs="仿宋"/>
          <w:color w:val="auto"/>
          <w:sz w:val="24"/>
          <w:highlight w:val="none"/>
          <w:lang w:val="zh-CN"/>
        </w:rPr>
        <w:t xml:space="preserve">操作系统至少win7以上，建议使用win10操作系统。</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22.3.5.5.4</w:t>
      </w:r>
      <w:r>
        <w:rPr>
          <w:rFonts w:hint="eastAsia" w:ascii="仿宋" w:hAnsi="仿宋" w:eastAsia="仿宋" w:cs="仿宋"/>
          <w:color w:val="auto"/>
          <w:sz w:val="24"/>
          <w:highlight w:val="none"/>
          <w:lang w:val="zh-CN"/>
        </w:rPr>
        <w:t xml:space="preserve">通过“苏采云”系统提交政府采购客户端工具导出加密的响应文件（后缀名为zip）。响应文件不得超过350M！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注：供应商应当按照《磋商文件》的要求编制响应文件，并对其提交的响应文件的真实性、合法性承担法律责任。</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22</w:t>
      </w:r>
      <w:r>
        <w:rPr>
          <w:rFonts w:hint="eastAsia" w:ascii="仿宋" w:hAnsi="仿宋" w:eastAsia="仿宋" w:cs="仿宋"/>
          <w:b/>
          <w:bCs/>
          <w:color w:val="auto"/>
          <w:sz w:val="28"/>
          <w:szCs w:val="28"/>
          <w:highlight w:val="none"/>
          <w:lang w:val="zh-CN"/>
        </w:rPr>
        <w:t xml:space="preserve">.响应文件的修改与撤回</w:t>
      </w:r>
      <w:r/>
    </w:p>
    <w:p>
      <w:pPr>
        <w:ind w:firstLine="48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r>
      <w:r/>
    </w:p>
    <w:p>
      <w:pPr>
        <w:pStyle w:val="1099"/>
        <w:jc w:val="center"/>
        <w:spacing w:before="0" w:after="0" w:line="300" w:lineRule="auto"/>
        <w:rPr>
          <w:rFonts w:ascii="仿宋" w:hAnsi="仿宋" w:eastAsia="仿宋" w:cs="仿宋"/>
          <w:color w:val="auto"/>
          <w:highlight w:val="none"/>
          <w:lang w:val="zh-CN"/>
        </w:rPr>
      </w:pPr>
      <w:r>
        <w:rPr>
          <w:rFonts w:hint="eastAsia" w:ascii="仿宋" w:hAnsi="仿宋" w:eastAsia="仿宋" w:cs="仿宋"/>
          <w:color w:val="auto"/>
          <w:sz w:val="28"/>
          <w:szCs w:val="28"/>
          <w:highlight w:val="none"/>
        </w:rPr>
        <w:t xml:space="preserve">第六章  磋商、评标、中标以及废标</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23</w:t>
      </w:r>
      <w:r>
        <w:rPr>
          <w:rFonts w:hint="eastAsia" w:ascii="仿宋" w:hAnsi="仿宋" w:eastAsia="仿宋" w:cs="仿宋"/>
          <w:b/>
          <w:bCs/>
          <w:color w:val="auto"/>
          <w:sz w:val="28"/>
          <w:szCs w:val="28"/>
          <w:highlight w:val="none"/>
          <w:lang w:val="zh-CN"/>
        </w:rPr>
        <w:t xml:space="preserve">.响应文件截止时间和地点</w:t>
      </w:r>
      <w:r/>
    </w:p>
    <w:p>
      <w:pPr>
        <w:ind w:firstLine="41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采购人或采购代理机构在供应商须知前附表规定的时间和地点举行磋商会议。</w:t>
      </w:r>
      <w:r/>
    </w:p>
    <w:p>
      <w:pPr>
        <w:ind w:firstLine="41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在截止时间后提交的首次响应文件为无效文件，将被拒收。</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24</w:t>
      </w:r>
      <w:r>
        <w:rPr>
          <w:rFonts w:hint="eastAsia" w:ascii="仿宋" w:hAnsi="仿宋" w:eastAsia="仿宋" w:cs="仿宋"/>
          <w:b/>
          <w:bCs/>
          <w:color w:val="auto"/>
          <w:sz w:val="28"/>
          <w:szCs w:val="28"/>
          <w:highlight w:val="none"/>
          <w:lang w:val="zh-CN"/>
        </w:rPr>
        <w:t xml:space="preserve">.磋商程序</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24.1被邀请参与磋商的供应商需按本竞争性磋商文件要求的截止时间、方式（地点）提交首次响应文件，同时派人通过“苏采云”系统在“开标大厅”等待磋商。</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24.2到达开启时间，“苏采云”系统自动提取所有响应文件，供应商按采购文件规定方式按时在线解密。本项目采购文件规定的供应商按时在线解密方式：开启时间后30分钟内，通过“苏采云”系统（使用“CA数字证书”）解密。</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24.3磋商顺序按照电子标书解密先后时间进行，解密时间相同的，不分先后顺序。</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24.5未在规定时间内进行答疑澄清的，视同放弃澄清。</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24.6未在规定时间内进行报价的，视为响应无效。</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24.7被邀请参与磋商的供应商如未按上述磋商要求执行，视同放弃磋商的权利。</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24.8</w:t>
      </w:r>
      <w:r>
        <w:rPr>
          <w:rFonts w:hint="eastAsia" w:ascii="仿宋" w:hAnsi="仿宋" w:eastAsia="仿宋" w:cs="仿宋"/>
          <w:color w:val="auto"/>
          <w:sz w:val="24"/>
          <w:highlight w:val="none"/>
          <w:lang w:val="zh-CN"/>
        </w:rPr>
        <w:t xml:space="preserve">磋商结束后，磋商小组将要求所有实质性响应的供应商在最后一个供应商磋商结束后十五分钟内提交最后报价，提交最后报价的供应商不得少于3家。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24.9</w:t>
      </w:r>
      <w:r>
        <w:rPr>
          <w:rFonts w:hint="eastAsia" w:ascii="仿宋" w:hAnsi="仿宋" w:eastAsia="仿宋" w:cs="仿宋"/>
          <w:color w:val="auto"/>
          <w:sz w:val="24"/>
          <w:highlight w:val="none"/>
          <w:lang w:val="zh-CN"/>
        </w:rPr>
        <w:t xml:space="preserve">经磋商确定最终采购需求，由磋商小组采用综合评分法对供应商的响应文件进行综合评分。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24.10</w:t>
      </w:r>
      <w:r>
        <w:rPr>
          <w:rFonts w:hint="eastAsia" w:ascii="仿宋" w:hAnsi="仿宋" w:eastAsia="仿宋" w:cs="仿宋"/>
          <w:color w:val="auto"/>
          <w:sz w:val="24"/>
          <w:highlight w:val="none"/>
          <w:lang w:val="zh-CN"/>
        </w:rPr>
        <w:t xml:space="preserve">磋商小组根据磋商成交原则确定成交供应商，并将结果通知所有参加磋商的供应商。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24.11</w:t>
      </w:r>
      <w:r>
        <w:rPr>
          <w:rFonts w:hint="eastAsia" w:ascii="仿宋" w:hAnsi="仿宋" w:eastAsia="仿宋" w:cs="仿宋"/>
          <w:color w:val="auto"/>
          <w:sz w:val="24"/>
          <w:highlight w:val="none"/>
          <w:lang w:val="zh-CN"/>
        </w:rPr>
        <w:t xml:space="preserve">如磋商过程中出现本磋商文件未尽事宜，由磋商小组根据政府采购有关法律、法规讨论决定。</w:t>
      </w:r>
      <w:r/>
    </w:p>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24.12注意事项：</w:t>
      </w:r>
      <w:r/>
    </w:p>
    <w:p>
      <w:pPr>
        <w:pStyle w:val="1103"/>
        <w:ind w:firstLine="480"/>
        <w:spacing w:line="300" w:lineRule="auto"/>
        <w:rPr>
          <w:color w:val="auto"/>
          <w:highlight w:val="none"/>
        </w:rPr>
      </w:pPr>
      <w:r>
        <w:rPr>
          <w:rFonts w:hint="eastAsia" w:ascii="仿宋" w:hAnsi="仿宋" w:eastAsia="仿宋"/>
          <w:color w:val="auto"/>
          <w:sz w:val="24"/>
          <w:highlight w:val="none"/>
        </w:rPr>
        <w:t xml:space="preserve">24.12.1开标时供应商须在规定时间内进行响应文件解密，报价确认；</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24.12.2评审中供应商应随时关注电脑，需依据电脑提示进行磋商并及时进行二次或最终报价；</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24.12.3各响应人在项目评标结束之前不要擅自离开“苏采云”交易系统开标大厅，待评审专家开启最终报价程序后，及时准确完成最终报价。</w:t>
      </w:r>
      <w:r/>
    </w:p>
    <w:p>
      <w:pPr>
        <w:spacing w:line="300" w:lineRule="auto"/>
        <w:rPr>
          <w:rFonts w:ascii="仿宋" w:hAnsi="仿宋" w:eastAsia="仿宋" w:cs="仿宋"/>
          <w:b/>
          <w:bCs/>
          <w:color w:val="auto"/>
          <w:sz w:val="24"/>
          <w:highlight w:val="none"/>
          <w:lang w:val="zh-CN"/>
        </w:rPr>
      </w:pPr>
      <w:r>
        <w:rPr>
          <w:rFonts w:hint="eastAsia" w:ascii="仿宋" w:hAnsi="仿宋" w:eastAsia="仿宋" w:cs="仿宋"/>
          <w:b/>
          <w:bCs/>
          <w:color w:val="auto"/>
          <w:sz w:val="28"/>
          <w:szCs w:val="28"/>
          <w:highlight w:val="none"/>
        </w:rPr>
        <w:t xml:space="preserve">25</w:t>
      </w:r>
      <w:r>
        <w:rPr>
          <w:rFonts w:hint="eastAsia" w:ascii="仿宋" w:hAnsi="仿宋" w:eastAsia="仿宋" w:cs="仿宋"/>
          <w:b/>
          <w:bCs/>
          <w:color w:val="auto"/>
          <w:sz w:val="28"/>
          <w:szCs w:val="28"/>
          <w:highlight w:val="none"/>
          <w:lang w:val="zh-CN"/>
        </w:rPr>
        <w:t xml:space="preserve">.开标</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25.1采购人或采购代理机构</w:t>
      </w:r>
      <w:r>
        <w:rPr>
          <w:rFonts w:hint="eastAsia" w:ascii="仿宋" w:hAnsi="仿宋" w:eastAsia="仿宋"/>
          <w:color w:val="auto"/>
          <w:sz w:val="24"/>
          <w:highlight w:val="none"/>
          <w:lang w:val="zh-CN"/>
        </w:rPr>
        <w:t xml:space="preserve">将在招标公告中规定的时间和地点组织公开开标。</w:t>
      </w:r>
      <w:r>
        <w:rPr>
          <w:rFonts w:hint="eastAsia" w:ascii="仿宋" w:hAnsi="仿宋" w:eastAsia="仿宋"/>
          <w:color w:val="auto"/>
          <w:sz w:val="24"/>
          <w:highlight w:val="none"/>
        </w:rPr>
        <w:t xml:space="preserve">响应</w:t>
      </w:r>
      <w:r>
        <w:rPr>
          <w:rFonts w:hint="eastAsia" w:ascii="仿宋" w:hAnsi="仿宋" w:eastAsia="仿宋"/>
          <w:color w:val="auto"/>
          <w:sz w:val="24"/>
          <w:highlight w:val="none"/>
          <w:lang w:val="zh-CN"/>
        </w:rPr>
        <w:t xml:space="preserve">人应当按照《江苏省政府采购管理交易系统（苏采云）供应商操作手册》规定，参加开标活动。</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25.2响应</w:t>
      </w:r>
      <w:r>
        <w:rPr>
          <w:rFonts w:hint="eastAsia" w:ascii="仿宋" w:hAnsi="仿宋" w:eastAsia="仿宋"/>
          <w:color w:val="auto"/>
          <w:sz w:val="24"/>
          <w:highlight w:val="none"/>
          <w:lang w:val="zh-CN"/>
        </w:rPr>
        <w:t xml:space="preserve">人在开标过程中涉及到的投标文件解密、开标结果确认等工作，应按照《江苏省政府采购管理交易系统（苏采云）供应商操作手册》规定执行。每个供应商的解密时长为6分钟，超时视同解密失败。</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25.3</w:t>
      </w:r>
      <w:r>
        <w:rPr>
          <w:rFonts w:hint="eastAsia" w:ascii="仿宋" w:hAnsi="仿宋" w:eastAsia="仿宋"/>
          <w:color w:val="auto"/>
          <w:sz w:val="24"/>
          <w:highlight w:val="none"/>
          <w:lang w:val="zh-CN"/>
        </w:rPr>
        <w:t xml:space="preserve">开标仪式由</w:t>
      </w:r>
      <w:r>
        <w:rPr>
          <w:rFonts w:hint="eastAsia" w:ascii="仿宋" w:hAnsi="仿宋" w:eastAsia="仿宋"/>
          <w:color w:val="auto"/>
          <w:sz w:val="24"/>
          <w:highlight w:val="none"/>
        </w:rPr>
        <w:t xml:space="preserve">采购人或采购代理机构</w:t>
      </w:r>
      <w:r>
        <w:rPr>
          <w:rFonts w:hint="eastAsia" w:ascii="仿宋" w:hAnsi="仿宋" w:eastAsia="仿宋"/>
          <w:color w:val="auto"/>
          <w:sz w:val="24"/>
          <w:highlight w:val="none"/>
          <w:lang w:val="zh-CN"/>
        </w:rPr>
        <w:t xml:space="preserve">组织。《江苏省政府采购管理交易系统（苏采云）供应商操作手册》将自动对项目进行开标。</w:t>
      </w:r>
      <w:r/>
    </w:p>
    <w:p>
      <w:pPr>
        <w:ind w:firstLine="480"/>
        <w:spacing w:line="300" w:lineRule="auto"/>
        <w:rPr>
          <w:rFonts w:eastAsia="仿宋"/>
          <w:color w:val="auto"/>
          <w:highlight w:val="none"/>
        </w:rPr>
      </w:pPr>
      <w:r>
        <w:rPr>
          <w:rFonts w:hint="eastAsia" w:ascii="仿宋" w:hAnsi="仿宋" w:eastAsia="仿宋"/>
          <w:color w:val="auto"/>
          <w:sz w:val="24"/>
          <w:highlight w:val="none"/>
        </w:rPr>
        <w:t xml:space="preserve">25.4解密完成后由磋商小组进行资格审查并邀请响应人进行磋商，</w:t>
      </w:r>
      <w:r>
        <w:rPr>
          <w:rFonts w:hint="eastAsia" w:ascii="仿宋" w:hAnsi="仿宋" w:eastAsia="仿宋" w:cs="仿宋"/>
          <w:color w:val="auto"/>
          <w:sz w:val="24"/>
          <w:highlight w:val="none"/>
          <w:lang w:val="zh-CN"/>
        </w:rPr>
        <w:t xml:space="preserve">磋商结束后，磋商小组将要求所有实质性响应的供应商在最后一个供应商磋商结束后十五分钟内提交最后报价，提交最后报价的供应商不得少于3家，</w:t>
      </w:r>
      <w:r>
        <w:rPr>
          <w:rFonts w:hint="eastAsia" w:ascii="仿宋" w:hAnsi="仿宋" w:eastAsia="仿宋"/>
          <w:color w:val="auto"/>
          <w:sz w:val="24"/>
          <w:highlight w:val="none"/>
          <w:lang w:val="zh-CN"/>
        </w:rPr>
        <w:t xml:space="preserve">并宣读各</w:t>
      </w:r>
      <w:r>
        <w:rPr>
          <w:rFonts w:hint="eastAsia" w:ascii="仿宋" w:hAnsi="仿宋" w:eastAsia="仿宋"/>
          <w:color w:val="auto"/>
          <w:sz w:val="24"/>
          <w:highlight w:val="none"/>
        </w:rPr>
        <w:t xml:space="preserve">响应</w:t>
      </w:r>
      <w:r>
        <w:rPr>
          <w:rFonts w:hint="eastAsia" w:ascii="仿宋" w:hAnsi="仿宋" w:eastAsia="仿宋"/>
          <w:color w:val="auto"/>
          <w:sz w:val="24"/>
          <w:highlight w:val="none"/>
          <w:lang w:val="zh-CN"/>
        </w:rPr>
        <w:t xml:space="preserve">人的《</w:t>
      </w:r>
      <w:r>
        <w:rPr>
          <w:rFonts w:hint="eastAsia" w:ascii="仿宋" w:hAnsi="仿宋" w:eastAsia="仿宋"/>
          <w:color w:val="auto"/>
          <w:sz w:val="24"/>
          <w:highlight w:val="none"/>
        </w:rPr>
        <w:t xml:space="preserve">首轮报价</w:t>
      </w:r>
      <w:r>
        <w:rPr>
          <w:rFonts w:hint="eastAsia" w:ascii="仿宋" w:hAnsi="仿宋" w:eastAsia="仿宋"/>
          <w:color w:val="auto"/>
          <w:sz w:val="24"/>
          <w:highlight w:val="none"/>
          <w:lang w:val="zh-CN"/>
        </w:rPr>
        <w:t xml:space="preserve">一览表》</w:t>
      </w:r>
      <w:r>
        <w:rPr>
          <w:rFonts w:hint="eastAsia" w:ascii="仿宋" w:hAnsi="仿宋" w:eastAsia="仿宋"/>
          <w:color w:val="auto"/>
          <w:sz w:val="24"/>
          <w:highlight w:val="none"/>
        </w:rPr>
        <w:t xml:space="preserve">及《二轮报价表》。</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25.5响应</w:t>
      </w:r>
      <w:r>
        <w:rPr>
          <w:rFonts w:hint="eastAsia" w:ascii="仿宋" w:hAnsi="仿宋" w:eastAsia="仿宋"/>
          <w:color w:val="auto"/>
          <w:sz w:val="24"/>
          <w:highlight w:val="none"/>
          <w:lang w:val="zh-CN"/>
        </w:rPr>
        <w:t xml:space="preserve">人如果对开标过程和开标记录有疑义，应当根据《江苏省政府采购管理交易系统（苏采云）供应商操作手册》规定提出，如 “</w:t>
      </w:r>
      <w:r>
        <w:rPr>
          <w:rFonts w:hint="eastAsia" w:ascii="仿宋" w:hAnsi="仿宋" w:eastAsia="仿宋"/>
          <w:color w:val="auto"/>
          <w:sz w:val="24"/>
          <w:highlight w:val="none"/>
        </w:rPr>
        <w:t xml:space="preserve">苏采云</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rPr>
        <w:t xml:space="preserve">系统</w:t>
      </w:r>
      <w:r>
        <w:rPr>
          <w:rFonts w:hint="eastAsia" w:ascii="仿宋" w:hAnsi="仿宋" w:eastAsia="仿宋"/>
          <w:color w:val="auto"/>
          <w:sz w:val="24"/>
          <w:highlight w:val="none"/>
          <w:lang w:val="zh-CN"/>
        </w:rPr>
        <w:t xml:space="preserve">中《</w:t>
      </w:r>
      <w:r>
        <w:rPr>
          <w:rFonts w:hint="eastAsia" w:ascii="仿宋" w:hAnsi="仿宋" w:eastAsia="仿宋"/>
          <w:color w:val="auto"/>
          <w:sz w:val="24"/>
          <w:highlight w:val="none"/>
        </w:rPr>
        <w:t xml:space="preserve">首轮报价</w:t>
      </w:r>
      <w:r>
        <w:rPr>
          <w:rFonts w:hint="eastAsia" w:ascii="仿宋" w:hAnsi="仿宋" w:eastAsia="仿宋"/>
          <w:color w:val="auto"/>
          <w:sz w:val="24"/>
          <w:highlight w:val="none"/>
          <w:lang w:val="zh-CN"/>
        </w:rPr>
        <w:t xml:space="preserve">一览表》</w:t>
      </w:r>
      <w:r>
        <w:rPr>
          <w:rFonts w:hint="eastAsia" w:ascii="仿宋" w:hAnsi="仿宋" w:eastAsia="仿宋"/>
          <w:color w:val="auto"/>
          <w:sz w:val="24"/>
          <w:highlight w:val="none"/>
        </w:rPr>
        <w:t xml:space="preserve">及《二轮报价表》</w:t>
      </w:r>
      <w:r>
        <w:rPr>
          <w:rFonts w:hint="eastAsia" w:ascii="仿宋" w:hAnsi="仿宋" w:eastAsia="仿宋"/>
          <w:color w:val="auto"/>
          <w:sz w:val="24"/>
          <w:highlight w:val="none"/>
          <w:lang w:val="zh-CN"/>
        </w:rPr>
        <w:t xml:space="preserve">宣布后5分钟内未提出的，视同认可开标结果。</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25.6</w:t>
      </w:r>
      <w:r>
        <w:rPr>
          <w:rFonts w:hint="eastAsia" w:ascii="仿宋" w:hAnsi="仿宋" w:eastAsia="仿宋"/>
          <w:color w:val="auto"/>
          <w:sz w:val="24"/>
          <w:highlight w:val="none"/>
          <w:lang w:val="zh-CN"/>
        </w:rPr>
        <w:t xml:space="preserve">开标时，投标文件中开标一览表内容与投标文件中明细表内容不一致的，以开标一览表为准。</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25.7</w:t>
      </w:r>
      <w:r>
        <w:rPr>
          <w:rFonts w:hint="eastAsia" w:ascii="仿宋" w:hAnsi="仿宋" w:eastAsia="仿宋"/>
          <w:color w:val="auto"/>
          <w:sz w:val="24"/>
          <w:highlight w:val="none"/>
          <w:lang w:val="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2"/>
        <w:spacing w:line="300" w:lineRule="auto"/>
        <w:tabs>
          <w:tab w:val="left" w:pos="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25</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8</w:t>
      </w:r>
      <w:r>
        <w:rPr>
          <w:rFonts w:hint="eastAsia" w:ascii="仿宋" w:hAnsi="仿宋" w:eastAsia="仿宋" w:cs="仿宋"/>
          <w:color w:val="auto"/>
          <w:sz w:val="24"/>
          <w:highlight w:val="none"/>
          <w:lang w:val="zh-CN"/>
        </w:rPr>
        <w:t xml:space="preserve">响应文件有下列情况之一，采购人或者采购代理机构不予受理：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25</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8</w:t>
      </w:r>
      <w:r>
        <w:rPr>
          <w:rFonts w:hint="eastAsia" w:ascii="仿宋" w:hAnsi="仿宋" w:eastAsia="仿宋" w:cs="仿宋"/>
          <w:color w:val="auto"/>
          <w:sz w:val="24"/>
          <w:highlight w:val="none"/>
          <w:lang w:val="zh-CN"/>
        </w:rPr>
        <w:t xml:space="preserve">.1逾期</w:t>
      </w:r>
      <w:r>
        <w:rPr>
          <w:rFonts w:hint="eastAsia" w:ascii="仿宋" w:hAnsi="仿宋" w:eastAsia="仿宋" w:cs="仿宋"/>
          <w:color w:val="auto"/>
          <w:sz w:val="24"/>
          <w:highlight w:val="none"/>
        </w:rPr>
        <w:t xml:space="preserve">上传</w:t>
      </w:r>
      <w:r>
        <w:rPr>
          <w:rFonts w:hint="eastAsia" w:ascii="仿宋" w:hAnsi="仿宋" w:eastAsia="仿宋" w:cs="仿宋"/>
          <w:color w:val="auto"/>
          <w:sz w:val="24"/>
          <w:highlight w:val="none"/>
          <w:lang w:val="zh-CN"/>
        </w:rPr>
        <w:t xml:space="preserve">的或者未</w:t>
      </w:r>
      <w:r>
        <w:rPr>
          <w:rFonts w:hint="eastAsia" w:ascii="仿宋" w:hAnsi="仿宋" w:eastAsia="仿宋" w:cs="仿宋"/>
          <w:color w:val="auto"/>
          <w:sz w:val="24"/>
          <w:highlight w:val="none"/>
        </w:rPr>
        <w:t xml:space="preserve">按规定要求上传</w:t>
      </w:r>
      <w:r>
        <w:rPr>
          <w:rFonts w:hint="eastAsia" w:ascii="仿宋" w:hAnsi="仿宋" w:eastAsia="仿宋" w:cs="仿宋"/>
          <w:color w:val="auto"/>
          <w:sz w:val="24"/>
          <w:highlight w:val="none"/>
          <w:lang w:val="zh-CN"/>
        </w:rPr>
        <w:t xml:space="preserve">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25</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8.</w:t>
      </w:r>
      <w:r>
        <w:rPr>
          <w:rFonts w:hint="eastAsia" w:ascii="仿宋" w:hAnsi="仿宋" w:eastAsia="仿宋" w:cs="仿宋"/>
          <w:color w:val="auto"/>
          <w:sz w:val="24"/>
          <w:highlight w:val="none"/>
          <w:lang w:val="zh-CN"/>
        </w:rPr>
        <w:t xml:space="preserve">2违反招标、磋商响应纪律的；</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25</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9</w:t>
      </w:r>
      <w:r>
        <w:rPr>
          <w:rFonts w:hint="eastAsia" w:ascii="仿宋" w:hAnsi="仿宋" w:eastAsia="仿宋" w:cs="仿宋"/>
          <w:color w:val="auto"/>
          <w:sz w:val="24"/>
          <w:highlight w:val="none"/>
          <w:lang w:val="zh-CN"/>
        </w:rPr>
        <w:t xml:space="preserve">供应商对开标有异议的，应当在开标现场以书面形式（</w:t>
      </w:r>
      <w:r>
        <w:rPr>
          <w:rFonts w:hint="eastAsia" w:ascii="仿宋" w:hAnsi="仿宋" w:eastAsia="仿宋" w:cs="仿宋"/>
          <w:color w:val="auto"/>
          <w:sz w:val="24"/>
          <w:highlight w:val="none"/>
        </w:rPr>
        <w:t xml:space="preserve">或网上聊天</w:t>
      </w:r>
      <w:r>
        <w:rPr>
          <w:rFonts w:hint="eastAsia" w:ascii="仿宋" w:hAnsi="仿宋" w:eastAsia="仿宋" w:cs="仿宋"/>
          <w:color w:val="auto"/>
          <w:sz w:val="24"/>
          <w:highlight w:val="none"/>
          <w:lang w:val="zh-CN"/>
        </w:rPr>
        <w:t xml:space="preserve">）提出，采购人或者采购代理机构应当场给予答复，并制作记录，采购人代表、采购代理机构、监督人签字确认。采用不见面开标的其供应商法定代表人（或者被授权代表）仅须在视频会议中确认。</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25</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10</w:t>
      </w:r>
      <w:r>
        <w:rPr>
          <w:rFonts w:hint="eastAsia" w:ascii="仿宋" w:hAnsi="仿宋" w:eastAsia="仿宋" w:cs="仿宋"/>
          <w:color w:val="auto"/>
          <w:sz w:val="24"/>
          <w:highlight w:val="none"/>
          <w:lang w:val="zh-CN"/>
        </w:rPr>
        <w:t xml:space="preserve">参加开标会议的采购人代表不得参加本项目评审；开标记录由采购代理机构保存，在商务打分结束后提交磋商小组审核。</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b/>
          <w:bCs/>
          <w:color w:val="auto"/>
          <w:sz w:val="24"/>
          <w:highlight w:val="none"/>
          <w:lang w:val="zh-CN"/>
        </w:rPr>
        <w:t xml:space="preserve">特别说明：</w:t>
      </w:r>
      <w:r>
        <w:rPr>
          <w:rFonts w:hint="eastAsia" w:ascii="仿宋" w:hAnsi="仿宋" w:eastAsia="仿宋" w:cs="仿宋"/>
          <w:color w:val="auto"/>
          <w:sz w:val="24"/>
          <w:highlight w:val="none"/>
          <w:lang w:val="zh-CN"/>
        </w:rPr>
        <w:t xml:space="preserve">“苏采云”系统通过“江苏省政府采购一体化不见面开标大厅”提醒供应商。供应商自行查看，供应商因自身原因不及时查看导致没收到信息，“苏采云”系统不承担任何责任。</w:t>
      </w:r>
      <w:r/>
    </w:p>
    <w:p>
      <w:pPr>
        <w:spacing w:line="300" w:lineRule="auto"/>
        <w:rPr>
          <w:rFonts w:ascii="仿宋" w:hAnsi="仿宋" w:eastAsia="仿宋" w:cs="仿宋"/>
          <w:b/>
          <w:bCs/>
          <w:color w:val="auto"/>
          <w:sz w:val="24"/>
          <w:highlight w:val="none"/>
          <w:lang w:val="zh-CN"/>
        </w:rPr>
      </w:pPr>
      <w:r>
        <w:rPr>
          <w:rFonts w:hint="eastAsia" w:ascii="仿宋" w:hAnsi="仿宋" w:eastAsia="仿宋" w:cs="仿宋"/>
          <w:b/>
          <w:bCs/>
          <w:color w:val="auto"/>
          <w:sz w:val="28"/>
          <w:szCs w:val="28"/>
          <w:highlight w:val="none"/>
        </w:rPr>
        <w:t xml:space="preserve">26</w:t>
      </w:r>
      <w:r>
        <w:rPr>
          <w:rFonts w:hint="eastAsia" w:ascii="仿宋" w:hAnsi="仿宋" w:eastAsia="仿宋" w:cs="仿宋"/>
          <w:b/>
          <w:bCs/>
          <w:color w:val="auto"/>
          <w:sz w:val="28"/>
          <w:szCs w:val="28"/>
          <w:highlight w:val="none"/>
          <w:lang w:val="zh-CN"/>
        </w:rPr>
        <w:t xml:space="preserve">.磋商小组</w:t>
      </w:r>
      <w:r/>
    </w:p>
    <w:p>
      <w:pPr>
        <w:ind w:firstLine="480"/>
        <w:spacing w:line="300" w:lineRule="auto"/>
        <w:tabs>
          <w:tab w:val="left" w:pos="72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.1磋商小组的组成</w:t>
      </w:r>
      <w:r/>
    </w:p>
    <w:p>
      <w:pPr>
        <w:ind w:firstLine="480"/>
        <w:spacing w:line="300" w:lineRule="auto"/>
        <w:tabs>
          <w:tab w:val="left" w:pos="72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采购人按照《中华人民共和国政府采购法》以及有关规定组建磋商小组。评标由依法组建的磋商小组负责。磋商小组由采购人代表和评标专家共同组成，成员人数为三人以上单数，其中采购人代表只限一人。</w:t>
      </w:r>
      <w:r/>
    </w:p>
    <w:p>
      <w:pPr>
        <w:ind w:firstLine="480"/>
        <w:spacing w:line="300" w:lineRule="auto"/>
        <w:tabs>
          <w:tab w:val="left" w:pos="72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.2评审专家的抽取</w:t>
      </w:r>
      <w:r/>
    </w:p>
    <w:p>
      <w:pPr>
        <w:ind w:firstLine="480"/>
        <w:spacing w:line="300" w:lineRule="auto"/>
        <w:tabs>
          <w:tab w:val="left" w:pos="72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.2.1采用随机抽取方式从财政部门依法设立的专家库中确定磋商小组成员。任何单位和个人都不得指定评审专家或干预评审专家的抽取工作。</w:t>
      </w:r>
      <w:r/>
    </w:p>
    <w:p>
      <w:pPr>
        <w:ind w:firstLine="480"/>
        <w:spacing w:line="300" w:lineRule="auto"/>
        <w:tabs>
          <w:tab w:val="left" w:pos="72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.2.2参加评审专家抽取的有关人员对被抽取的专家的姓名、单位和联系方式等内容负有保密的义务。磋商小组成员的名单在中标结果确定前必须严格保密。</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.3磋商小组成员不得参加与自己有利害关系的评审活动，与自己有利害关系的应当回避，已经进入的必须更换。</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.4磋商小组负责对各响应文件进行评审、比较、评定，并按本磋商文件的规定确定成交供应商或者推荐中标候选人。</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5磋商小组具有依据磋商文件进行独立评标的权力，且不受外界任何因素的干扰。磋商小组成员必须独立、负责地提出评审意见，并对自己的评审意见承担责任。对评标结果有不同意见的磋商小组成员应当以书面形式说明其不同意见和理由，评标报告应当注明不同意见。评审委员会成员拒绝评审或者拒绝在评标报告上签字并且又不书面说明其不同意见和理由的，视为同意评标结果。</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.6磋商小组的职责：</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.6.1审查响应文件是否符合磋商文件要求，进行资格性审查和符合性审查，并做出评价；</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.6.2要求供应商对响应文件有关事项做出解释或者澄清；</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.6.3推荐中标候选人名单，或者受采购人委托按照事先确定的办法直接确定成交供应商；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.6.4向采购人、采购代理机构或者有关部门报告非法干预评标工作的行为。</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.7磋商小组的义务：</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.7.1遵纪守法，客观、公正、廉洁地履行职责；</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.7.2提出真实、可靠的评审意见；</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.7.3严格遵守评标纪律，不得向外界泄露评标情况；</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.7.4发现供应商在招磋商响应活动中有不正当竞争或者恶意串通等违规行为，应及时向财政部门报告并加以制止；</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.7.5按照磋商文件规定的评标方法和评标标准进行评标，对评标意见承担个人责任；</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.7.6参与并审定评标报告；</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.7.7配合采购人或者采购代理机构答复供应商提出的质疑；</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.7.8对评标过程和结果，以及采购人、供应商的商业秘密保密；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.7.9配合财政部门处理投诉。</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.8磋商小组成员有下列情形之一的，应当回避：</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.8.1供应商或者供应商主要负责人的近亲属；</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.8.2项目主管部门或者行政监督部门的人员；</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.8.3与供应商有经济利益关系；</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.8.4曾因在磋商、评标以及其他与招标磋商响应有关系活动中从事违法行为而受到行政处罚或者刑事处罚的；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.8.5与供应商有其他利害关系。</w:t>
      </w:r>
      <w:r/>
    </w:p>
    <w:p>
      <w:pPr>
        <w:spacing w:line="300" w:lineRule="auto"/>
        <w:rPr>
          <w:rFonts w:ascii="仿宋" w:hAnsi="仿宋" w:eastAsia="仿宋" w:cs="仿宋"/>
          <w:b/>
          <w:bCs/>
          <w:color w:val="auto"/>
          <w:sz w:val="24"/>
          <w:highlight w:val="none"/>
          <w:lang w:val="zh-CN"/>
        </w:rPr>
      </w:pPr>
      <w:r>
        <w:rPr>
          <w:rFonts w:hint="eastAsia" w:ascii="仿宋" w:hAnsi="仿宋" w:eastAsia="仿宋" w:cs="仿宋"/>
          <w:b/>
          <w:bCs/>
          <w:color w:val="auto"/>
          <w:sz w:val="28"/>
          <w:szCs w:val="28"/>
          <w:highlight w:val="none"/>
        </w:rPr>
        <w:t xml:space="preserve">27</w:t>
      </w:r>
      <w:r>
        <w:rPr>
          <w:rFonts w:hint="eastAsia" w:ascii="仿宋" w:hAnsi="仿宋" w:eastAsia="仿宋" w:cs="仿宋"/>
          <w:b/>
          <w:bCs/>
          <w:color w:val="auto"/>
          <w:sz w:val="28"/>
          <w:szCs w:val="28"/>
          <w:highlight w:val="none"/>
          <w:lang w:val="zh-CN"/>
        </w:rPr>
        <w:t xml:space="preserve">.评标程序</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.1宣布评标纪律以及回避提示；</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.2组织推荐磋商小组组长；</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.3资格性审查；</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.4符合性审查；</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.5技术评审；</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.6澄清有关问题；</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.7综合打分；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.8确定成交供应商或者推荐中标候选人名单；</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.9编写评标报告。</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.10宣布评标结果。</w:t>
      </w:r>
      <w:r/>
    </w:p>
    <w:p>
      <w:pPr>
        <w:spacing w:line="300" w:lineRule="auto"/>
        <w:rPr>
          <w:rFonts w:ascii="仿宋" w:hAnsi="仿宋" w:eastAsia="仿宋" w:cs="仿宋"/>
          <w:b/>
          <w:bCs/>
          <w:color w:val="auto"/>
          <w:sz w:val="24"/>
          <w:highlight w:val="none"/>
          <w:lang w:val="zh-CN"/>
        </w:rPr>
      </w:pPr>
      <w:r>
        <w:rPr>
          <w:rFonts w:hint="eastAsia" w:ascii="仿宋" w:hAnsi="仿宋" w:eastAsia="仿宋" w:cs="仿宋"/>
          <w:b/>
          <w:bCs/>
          <w:color w:val="auto"/>
          <w:sz w:val="28"/>
          <w:szCs w:val="28"/>
          <w:highlight w:val="none"/>
        </w:rPr>
        <w:t xml:space="preserve">28</w:t>
      </w:r>
      <w:r>
        <w:rPr>
          <w:rFonts w:hint="eastAsia" w:ascii="仿宋" w:hAnsi="仿宋" w:eastAsia="仿宋" w:cs="仿宋"/>
          <w:b/>
          <w:bCs/>
          <w:color w:val="auto"/>
          <w:sz w:val="28"/>
          <w:szCs w:val="28"/>
          <w:highlight w:val="none"/>
          <w:lang w:val="zh-CN"/>
        </w:rPr>
        <w:t xml:space="preserve">.评标</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.1第一阶段：资格性审查</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.1.1依据法律法规和磋商文件的规定，对所有供应商的商务部分响应文件中的资格证明等进行审查，并确定供应商磋商响应资格。</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.2第二阶段：符合性审查</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依据磋商文件的规定，对供应商响应文件的有效性、完整性以及对磋商文件的响应程度进行审查，以判定是否对磋商文件的实质性要求做出响应。</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3在资格性和符合性审查同时，对不合格供应商或者响应无效的供应商，采购人及其代理机构必须提出不合格或者响应无效的事实依据，并出具不合格或者响应无效说明，采购人及其代理机构参加的全体成员签字确认。</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.4第三阶段：技术和综合实力评审</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.4.1按照磋商文件要求，审查供应商所投货物和服务的规格、质量、数量以及服务等技术要求和参数，并记录实质性响应、技术偏离等事项，进行技术部分的评审。</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.4.2按照磋商文件要求，审查供应商业绩、政策性加分等进行综合实力部分评审，并记录相关事项。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.5技术和综合实力打分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资格性审查和符合性审查结束后，磋商小组按照评标办法和标准进行比较和评价。</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技术部分由磋商小组成员各自独立打分，按照本磋商文件规定的评标办法进行逐项打分，对客观评分项的评分应当一致，对需要借助专业知识评判的主观评分项应当严格按照评分标准公正评分。供应商的技术得分是由磋商小组成员打分中去掉最高分和最低分后的算术平均值。</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综合实力部分打分由磋商小组审核认定评分结果。</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技术和综合实力部分打分结束，磋商小组成员签字确认。</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.6综合实力和技术评审加分详见本磋商文件第十</w:t>
      </w:r>
      <w:r>
        <w:rPr>
          <w:rFonts w:hint="eastAsia" w:ascii="仿宋" w:hAnsi="仿宋" w:eastAsia="仿宋" w:cs="仿宋"/>
          <w:color w:val="auto"/>
          <w:sz w:val="24"/>
          <w:highlight w:val="none"/>
        </w:rPr>
        <w:t xml:space="preserve">二</w:t>
      </w:r>
      <w:r>
        <w:rPr>
          <w:rFonts w:hint="eastAsia" w:ascii="仿宋" w:hAnsi="仿宋" w:eastAsia="仿宋" w:cs="仿宋"/>
          <w:color w:val="auto"/>
          <w:sz w:val="24"/>
          <w:highlight w:val="none"/>
          <w:lang w:val="zh-CN"/>
        </w:rPr>
        <w:t xml:space="preserve">章“评标办法”。</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.7评分结束后，交采购代理机构汇总、统计，打印出结果，磋商小组应对供应商的综合实力和技术得分进行最后的复核，并签字确认。</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29</w:t>
      </w:r>
      <w:r>
        <w:rPr>
          <w:rFonts w:hint="eastAsia" w:ascii="仿宋" w:hAnsi="仿宋" w:eastAsia="仿宋" w:cs="仿宋"/>
          <w:b/>
          <w:bCs/>
          <w:color w:val="auto"/>
          <w:sz w:val="28"/>
          <w:szCs w:val="28"/>
          <w:highlight w:val="none"/>
          <w:lang w:val="zh-CN"/>
        </w:rPr>
        <w:t xml:space="preserve">.澄清</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29</w:t>
      </w:r>
      <w:r>
        <w:rPr>
          <w:rFonts w:hint="eastAsia" w:ascii="仿宋" w:hAnsi="仿宋" w:eastAsia="仿宋" w:cs="仿宋"/>
          <w:color w:val="auto"/>
          <w:sz w:val="24"/>
          <w:highlight w:val="none"/>
          <w:lang w:val="zh-CN"/>
        </w:rPr>
        <w:t xml:space="preserve">.1对响应文件中含义不明确、同类问题表述不一致或者有明显文字和计算错误的内容，磋商小组应以书面形式要求供应商做出必要的澄清、承诺、说明或者纠正。供应商的澄清、承诺、说明或者纠正应采取书面形式，由法定代表人或者被授权代表签字，并不得超出响应文件的范围或者改变响应文件的实质性内容。</w:t>
      </w:r>
      <w:r>
        <w:rPr>
          <w:rFonts w:ascii="仿宋" w:hAnsi="仿宋" w:eastAsia="仿宋"/>
          <w:color w:val="auto"/>
          <w:sz w:val="24"/>
          <w:highlight w:val="none"/>
          <w:lang w:val="zh-CN"/>
        </w:rPr>
        <w:t xml:space="preserve">采用不见面开标的，采购人不接受供应商的澄清、承诺、说明或者纠正，请供应商务必注意。</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29</w:t>
      </w:r>
      <w:r>
        <w:rPr>
          <w:rFonts w:hint="eastAsia" w:ascii="仿宋" w:hAnsi="仿宋" w:eastAsia="仿宋" w:cs="仿宋"/>
          <w:color w:val="auto"/>
          <w:sz w:val="24"/>
          <w:highlight w:val="none"/>
          <w:lang w:val="zh-CN"/>
        </w:rPr>
        <w:t xml:space="preserve">.2磋商小组判断响应文件的响应性仅基于响应文件本身而不靠外部因素。未响应实质性条款的，磋商小组有权确定其响应无效，供应商不能通过修正、撤销或者澄清不符之处而使其响应成为实质性响应的响应。</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29.3</w:t>
      </w:r>
      <w:r>
        <w:rPr>
          <w:rFonts w:hint="eastAsia" w:ascii="仿宋" w:hAnsi="仿宋" w:eastAsia="仿宋" w:cs="仿宋"/>
          <w:color w:val="auto"/>
          <w:sz w:val="24"/>
          <w:highlight w:val="none"/>
          <w:lang w:val="zh-CN"/>
        </w:rPr>
        <w:t xml:space="preserve">磋商小组可以允许供应商修改或者澄清其响应文件中不构成实质偏离的、微小的、非正规的不一致或者不规则的地方。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29.4</w:t>
      </w:r>
      <w:r>
        <w:rPr>
          <w:rFonts w:hint="eastAsia" w:ascii="仿宋" w:hAnsi="仿宋" w:eastAsia="仿宋" w:cs="仿宋"/>
          <w:color w:val="auto"/>
          <w:sz w:val="24"/>
          <w:highlight w:val="none"/>
          <w:lang w:val="zh-CN"/>
        </w:rPr>
        <w:t xml:space="preserve">敬请各潜在供应商关注本项目的“更正（澄清）公告”，并通过“苏采云”系统重新下载更正（澄清）后的采购文件（后缀名为“.kedt”），离线编制投标文件，否则，将自行承担相应的风险。</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30</w:t>
      </w:r>
      <w:r>
        <w:rPr>
          <w:rFonts w:hint="eastAsia" w:ascii="仿宋" w:hAnsi="仿宋" w:eastAsia="仿宋" w:cs="仿宋"/>
          <w:b/>
          <w:bCs/>
          <w:color w:val="auto"/>
          <w:sz w:val="28"/>
          <w:szCs w:val="28"/>
          <w:highlight w:val="none"/>
          <w:lang w:val="zh-CN"/>
        </w:rPr>
        <w:t xml:space="preserve">.定标</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30</w:t>
      </w:r>
      <w:r>
        <w:rPr>
          <w:rFonts w:hint="eastAsia" w:ascii="仿宋" w:hAnsi="仿宋" w:eastAsia="仿宋" w:cs="仿宋"/>
          <w:color w:val="auto"/>
          <w:sz w:val="24"/>
          <w:highlight w:val="none"/>
          <w:lang w:val="zh-CN"/>
        </w:rPr>
        <w:t xml:space="preserve">.1本次采购人授权磋商小组确定成交供应商。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30</w:t>
      </w:r>
      <w:r>
        <w:rPr>
          <w:rFonts w:hint="eastAsia" w:ascii="仿宋" w:hAnsi="仿宋" w:eastAsia="仿宋" w:cs="仿宋"/>
          <w:color w:val="auto"/>
          <w:sz w:val="24"/>
          <w:highlight w:val="none"/>
          <w:lang w:val="zh-CN"/>
        </w:rPr>
        <w:t xml:space="preserve">.2本次磋商采用综合评分法。</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综合评分法，是指在最大限度地满足磋商文件实质性要求前提下，按照磋商文件中规定的各项因素进行综合评审后，以评标总得分最高的供应商作为中标候选供应商或者中标供应商的评标方法。综合评分的主要因素是：价格、技术、财务状况、信誉、业绩、服务、对磋商文件的响应程度，以及相应的比重或者权值等。评标时，磋商小组各成员应当独立对每个有效供应商的标书进行评价、打分，然后汇总每个供应商每项评分因素的得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30</w:t>
      </w:r>
      <w:r>
        <w:rPr>
          <w:rFonts w:hint="eastAsia" w:ascii="仿宋" w:hAnsi="仿宋" w:eastAsia="仿宋" w:cs="仿宋"/>
          <w:color w:val="auto"/>
          <w:sz w:val="24"/>
          <w:highlight w:val="none"/>
          <w:lang w:val="zh-CN"/>
        </w:rPr>
        <w:t xml:space="preserve">.3采用综合评分法的，按照评审后综合得分由高到低顺序排列。综合得分相同的，技术评审得分最高的供应商中标；仍相同的，由磋商小组投票，按照少数服从多数的原则确定成交供应商。</w:t>
      </w:r>
      <w:r/>
    </w:p>
    <w:p>
      <w:pPr>
        <w:ind w:firstLine="538"/>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30</w:t>
      </w:r>
      <w:r>
        <w:rPr>
          <w:rFonts w:hint="eastAsia" w:ascii="仿宋" w:hAnsi="仿宋" w:eastAsia="仿宋" w:cs="仿宋"/>
          <w:color w:val="auto"/>
          <w:sz w:val="24"/>
          <w:highlight w:val="none"/>
          <w:lang w:val="zh-CN"/>
        </w:rPr>
        <w:t xml:space="preserve">.4磋商文件规定推荐中标候选人的，中标候选人数量应当根据磋商需要并在磋商活动开始前确定各供应商排列顺序，依照顺序推荐中标候选人数量。</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30</w:t>
      </w:r>
      <w:r>
        <w:rPr>
          <w:rFonts w:hint="eastAsia" w:ascii="仿宋" w:hAnsi="仿宋" w:eastAsia="仿宋" w:cs="仿宋"/>
          <w:color w:val="auto"/>
          <w:sz w:val="24"/>
          <w:highlight w:val="none"/>
          <w:lang w:val="zh-CN"/>
        </w:rPr>
        <w:t xml:space="preserve">.5评审完成后，磋商小组参与并审定评标报告，采购代理机构向所有供应商宣布评审结果。</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31</w:t>
      </w:r>
      <w:r>
        <w:rPr>
          <w:rFonts w:hint="eastAsia" w:ascii="仿宋" w:hAnsi="仿宋" w:eastAsia="仿宋" w:cs="仿宋"/>
          <w:b/>
          <w:bCs/>
          <w:color w:val="auto"/>
          <w:sz w:val="28"/>
          <w:szCs w:val="28"/>
          <w:highlight w:val="none"/>
          <w:lang w:val="zh-CN"/>
        </w:rPr>
        <w:t xml:space="preserve">.中标查询以及中标通知书</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31</w:t>
      </w:r>
      <w:r>
        <w:rPr>
          <w:rFonts w:hint="eastAsia" w:ascii="仿宋" w:hAnsi="仿宋" w:eastAsia="仿宋" w:cs="仿宋"/>
          <w:color w:val="auto"/>
          <w:sz w:val="24"/>
          <w:highlight w:val="none"/>
          <w:lang w:val="zh-CN"/>
        </w:rPr>
        <w:t xml:space="preserve">.1确定成交供应商后，采购人和采购代理机构应当在2日内在江苏政府采购网发布中标公告，公示期限为1个工作日。</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31</w:t>
      </w:r>
      <w:r>
        <w:rPr>
          <w:rFonts w:hint="eastAsia" w:ascii="仿宋" w:hAnsi="仿宋" w:eastAsia="仿宋" w:cs="仿宋"/>
          <w:color w:val="auto"/>
          <w:sz w:val="24"/>
          <w:highlight w:val="none"/>
          <w:lang w:val="zh-CN"/>
        </w:rPr>
        <w:t xml:space="preserve">.2中标公示期满，采购代理机构将签发由监督人审核签字盖章的中标通知书，且对采购人和成交供应商具有法律约束力。</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采购代理机构不按照规定发布中标公告或者发布中标公告后不签发中标通知书的，应当承担法律责任，给成交供应商造成经济损失的应承担赔偿责任。</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31</w:t>
      </w:r>
      <w:r>
        <w:rPr>
          <w:rFonts w:hint="eastAsia" w:ascii="仿宋" w:hAnsi="仿宋" w:eastAsia="仿宋" w:cs="仿宋"/>
          <w:color w:val="auto"/>
          <w:sz w:val="24"/>
          <w:highlight w:val="none"/>
          <w:lang w:val="zh-CN"/>
        </w:rPr>
        <w:t xml:space="preserve">.3中标通知书对采购人和成交供应商都具有法律效力。中标通知书发出后，采购人改变中标结果的，或者成交供应商放弃中标，应当依法承担法律责任。</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32</w:t>
      </w:r>
      <w:r>
        <w:rPr>
          <w:rFonts w:hint="eastAsia" w:ascii="仿宋" w:hAnsi="仿宋" w:eastAsia="仿宋" w:cs="仿宋"/>
          <w:b/>
          <w:bCs/>
          <w:color w:val="auto"/>
          <w:sz w:val="28"/>
          <w:szCs w:val="28"/>
          <w:highlight w:val="none"/>
          <w:lang w:val="zh-CN"/>
        </w:rPr>
        <w:t xml:space="preserve">.响应无效</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出现下列情形之一的，</w:t>
      </w:r>
      <w:r>
        <w:rPr>
          <w:rFonts w:hint="eastAsia" w:ascii="仿宋" w:hAnsi="仿宋" w:eastAsia="仿宋" w:cs="仿宋"/>
          <w:color w:val="auto"/>
          <w:sz w:val="24"/>
          <w:highlight w:val="none"/>
          <w:lang w:val="zh-CN"/>
        </w:rPr>
        <w:t xml:space="preserve">响应无效：</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.1响应文件未按照规定制作的；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.2对“★”条款未做出实质性响应或者发生重大偏离的；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3响应人</w:t>
      </w:r>
      <w:r>
        <w:rPr>
          <w:rFonts w:hint="eastAsia" w:ascii="仿宋" w:hAnsi="仿宋" w:eastAsia="仿宋" w:cs="仿宋"/>
          <w:color w:val="auto"/>
          <w:sz w:val="24"/>
          <w:highlight w:val="none"/>
          <w:lang w:val="zh-CN"/>
        </w:rPr>
        <w:t xml:space="preserve">复制磋商文件的技术规格相关部分内容作为其响应文件的一部分的；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zh-CN"/>
        </w:rPr>
        <w:t xml:space="preserve">无</w:t>
      </w:r>
      <w:r>
        <w:rPr>
          <w:rFonts w:hint="eastAsia" w:ascii="仿宋" w:hAnsi="仿宋" w:eastAsia="仿宋" w:cs="仿宋"/>
          <w:color w:val="auto"/>
          <w:sz w:val="24"/>
          <w:highlight w:val="none"/>
        </w:rPr>
        <w:t xml:space="preserve">响应人</w:t>
      </w:r>
      <w:r>
        <w:rPr>
          <w:rFonts w:hint="eastAsia" w:ascii="仿宋" w:hAnsi="仿宋" w:eastAsia="仿宋" w:cs="仿宋"/>
          <w:color w:val="auto"/>
          <w:sz w:val="24"/>
          <w:highlight w:val="none"/>
          <w:lang w:val="zh-CN"/>
        </w:rPr>
        <w:t xml:space="preserve">法定代表人或者其授权代表签字</w:t>
      </w:r>
      <w:r>
        <w:rPr>
          <w:rFonts w:hint="eastAsia" w:ascii="仿宋" w:hAnsi="仿宋" w:eastAsia="仿宋" w:cs="仿宋"/>
          <w:color w:val="auto"/>
          <w:sz w:val="24"/>
          <w:highlight w:val="none"/>
        </w:rPr>
        <w:t xml:space="preserve">或电子签章</w:t>
      </w:r>
      <w:r>
        <w:rPr>
          <w:rFonts w:hint="eastAsia" w:ascii="仿宋" w:hAnsi="仿宋" w:eastAsia="仿宋" w:cs="仿宋"/>
          <w:color w:val="auto"/>
          <w:sz w:val="24"/>
          <w:highlight w:val="none"/>
          <w:lang w:val="zh-CN"/>
        </w:rPr>
        <w:t xml:space="preserve">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响应有效期不满足磋商文件要求；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zh-CN"/>
        </w:rPr>
        <w:t xml:space="preserve">磋商小组2/3以及以上成员认定磋商方案技术含量低、不符合磋商文件要求；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zh-CN"/>
        </w:rPr>
        <w:t xml:space="preserve">磋商小组判定供应商涂改证明材料或者提供虚假材料的；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8</w:t>
      </w:r>
      <w:r>
        <w:rPr>
          <w:rFonts w:hint="eastAsia" w:ascii="仿宋" w:hAnsi="仿宋" w:eastAsia="仿宋" w:cs="仿宋"/>
          <w:color w:val="auto"/>
          <w:sz w:val="24"/>
          <w:highlight w:val="none"/>
          <w:lang w:val="zh-CN"/>
        </w:rPr>
        <w:t xml:space="preserve">本磋商文件规定的响应无效情形的；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9</w:t>
      </w:r>
      <w:r>
        <w:rPr>
          <w:rFonts w:hint="eastAsia" w:ascii="仿宋" w:hAnsi="仿宋" w:eastAsia="仿宋" w:cs="仿宋"/>
          <w:color w:val="auto"/>
          <w:sz w:val="24"/>
          <w:highlight w:val="none"/>
          <w:lang w:val="zh-CN"/>
        </w:rPr>
        <w:t xml:space="preserve">不符合法律、法规和磋商文件中规定的其他要求的。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对响应无效的认定，必须经磋商小组集体做出决定并出具响应无效的事实依据，由供应商法定代表人或者被授权代表签字确认，拒绝签字的，不影响磋商小组做出的决定。</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33</w:t>
      </w:r>
      <w:r>
        <w:rPr>
          <w:rFonts w:hint="eastAsia" w:ascii="仿宋" w:hAnsi="仿宋" w:eastAsia="仿宋" w:cs="仿宋"/>
          <w:b/>
          <w:bCs/>
          <w:color w:val="auto"/>
          <w:sz w:val="28"/>
          <w:szCs w:val="28"/>
          <w:highlight w:val="none"/>
          <w:lang w:val="zh-CN"/>
        </w:rPr>
        <w:t xml:space="preserve">.废标</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出现下列情形之一的，应予废标：</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33</w:t>
      </w:r>
      <w:r>
        <w:rPr>
          <w:rFonts w:hint="eastAsia" w:ascii="仿宋" w:hAnsi="仿宋" w:eastAsia="仿宋" w:cs="仿宋"/>
          <w:color w:val="auto"/>
          <w:sz w:val="24"/>
          <w:highlight w:val="none"/>
          <w:lang w:val="zh-CN"/>
        </w:rPr>
        <w:t xml:space="preserve">.1符合专业条件的供应商或者对磋商文件作实质响应的供应商不足三家的；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33</w:t>
      </w:r>
      <w:r>
        <w:rPr>
          <w:rFonts w:hint="eastAsia" w:ascii="仿宋" w:hAnsi="仿宋" w:eastAsia="仿宋" w:cs="仿宋"/>
          <w:color w:val="auto"/>
          <w:sz w:val="24"/>
          <w:highlight w:val="none"/>
          <w:lang w:val="zh-CN"/>
        </w:rPr>
        <w:t xml:space="preserve">.2出现影响采购公正的违法、违规行为的；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33</w:t>
      </w:r>
      <w:r>
        <w:rPr>
          <w:rFonts w:hint="eastAsia" w:ascii="仿宋" w:hAnsi="仿宋" w:eastAsia="仿宋" w:cs="仿宋"/>
          <w:color w:val="auto"/>
          <w:sz w:val="24"/>
          <w:highlight w:val="none"/>
          <w:lang w:val="zh-CN"/>
        </w:rPr>
        <w:t xml:space="preserve">.3 因重大变故，采购任务取消的；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33</w:t>
      </w:r>
      <w:r>
        <w:rPr>
          <w:rFonts w:hint="eastAsia" w:ascii="仿宋" w:hAnsi="仿宋" w:eastAsia="仿宋" w:cs="仿宋"/>
          <w:color w:val="auto"/>
          <w:sz w:val="24"/>
          <w:highlight w:val="none"/>
          <w:lang w:val="zh-CN"/>
        </w:rPr>
        <w:t xml:space="preserve">.4法律、法规以及磋商文件规定废标情形。</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废标必须经磋商小组集体做出决定，经磋商小组全体成员签字确认后生效。废标后，采购人或者采购代理机构应当将废标理由通知所有供应商。</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34</w:t>
      </w:r>
      <w:r>
        <w:rPr>
          <w:rFonts w:hint="eastAsia" w:ascii="仿宋" w:hAnsi="仿宋" w:eastAsia="仿宋" w:cs="仿宋"/>
          <w:b/>
          <w:bCs/>
          <w:color w:val="auto"/>
          <w:sz w:val="28"/>
          <w:szCs w:val="28"/>
          <w:highlight w:val="none"/>
          <w:lang w:val="zh-CN"/>
        </w:rPr>
        <w:t xml:space="preserve">.特殊情况处置程序</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.1评标活动终止</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.1.1磋商小组应当执行连续评标的原则，按照磋商文件规定的程序、内容、方法、标准完成全部评标工作。</w:t>
      </w:r>
      <w:r>
        <w:rPr>
          <w:rFonts w:hint="eastAsia" w:ascii="仿宋" w:hAnsi="仿宋" w:eastAsia="仿宋" w:cs="仿宋"/>
          <w:color w:val="auto"/>
          <w:sz w:val="24"/>
          <w:highlight w:val="none"/>
        </w:rPr>
        <w:t xml:space="preserve">出现评审专家临时缺席、回避等情形导致评审现场专家数量不符合法定标准的，采购人或者采购代理机构要按照有关程序及时补抽专家，继续组织评审。如无法及时补齐专家，则要立即停止评审工作，封存磋商文件和所有响应或响应文件，择期重新组建磋商小组进行评审。</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.1.2发生下列情况之一的，磋商小组应终止评标并按照废标处理：</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.1.2.1发生了不可抗力事件；</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.1.2.2磋商小组名单泄密或者评标委员成员无法中途更换的；</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.1.2.3磋商小组成员未经监督人员同意离开评标区域或者擅自打电话以及采用其它方式与外界联系或者通报评标情况的；</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.1.2.4发生评标信息泄露或者出现非法干预评审、磋商工作的；</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.1.2.5监督人员现场发现磋商小组或者成员未按照磋商文件规定评审或者存在违反法律法规规定行为，且拒绝改正的。</w:t>
      </w:r>
      <w:r/>
    </w:p>
    <w:p>
      <w:pPr>
        <w:ind w:firstLine="47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出现上述情形的，磋商小组有权予以废标或者建议采购人和采购代理机构封存磋商文件和所有响应或响应文件，择期重新组建磋商小组进行评审。</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.2磋商小组中途更换成员</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.2.1除非发生下列情况之一，磋商小组成员不得中途更换：</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.2.1.1因不可抗拒的客观原因，不能到场或者需在评标过程中退出评标活动；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.2.1.2根据法律法规规定，某个或者某几个磋商小组成员需要回避；</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.2.2退出磋商小组的成员，其已完成的评审行为无效。由采购人向财政监督人员提出更换磋商小组成员意见并获准后，根据本磋商文件规定的磋商小组成员产生方式另行确定替代者进行评标。</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.3记名投票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在评标过程中，磋商小组发生分歧或者评审结论有异议需表决的，按照少数服从多数的原则，由磋商小组全体成员以记名投票方式表决。</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35</w:t>
      </w:r>
      <w:r>
        <w:rPr>
          <w:rFonts w:hint="eastAsia" w:ascii="仿宋" w:hAnsi="仿宋" w:eastAsia="仿宋" w:cs="仿宋"/>
          <w:b/>
          <w:bCs/>
          <w:color w:val="auto"/>
          <w:sz w:val="28"/>
          <w:szCs w:val="28"/>
          <w:highlight w:val="none"/>
          <w:lang w:val="zh-CN"/>
        </w:rPr>
        <w:t xml:space="preserve">.违法违规情形</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.1有下列情形之一的，属于供应商相互串通响应：</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.1.1供应商之间协商响应文件的实质性内容；</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.1.2供应商之间约定成交供应商；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.1.3供应商之间约定部分供应商放弃响应或者中标；</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.1.4属于同一集团、协会、商会等组织成员的供应商按照该组织要求协同响应；</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.1.5供应商之间为谋取中标或者排斥特定供应商而采取的其他联合行动。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.2有下列情形之一的，视为供应商相互串通响应：</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.2.1不同供应商的响应文件由同一单位或者个人编制；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.2.2不同供应商委托同一单位或者个人办理响应事宜；</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.2.3不同供应商的响应文件载明的项目管理成员为同一人（供应商恶意等因素除外）；</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.2.4不同供应商的响应文件异常一致呈规律性差异；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.2.6不同供应商的CA证书混用的；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.3有下列情形之一的，属于采购人与供应商串通响应：</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.3.1采购人在开标前开启响应文件并将有关信息泄露给其他供应商;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.3.2采购人直接或者间接向供应商泄露磋商小组成员等信息；</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.3.3采购人授意供应商撤换、修改响应文件；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.3.4采购人明示或者暗示供应商为特定供应商中标提供方便；</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.3.5采购人与供应商为谋求特定供应商中标而采取的其他串通行为。</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.4 供应商有下列情形之一的，属于供应商弄虚作假的行为：</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.4.1使用伪造、变造的许可证件；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.4.2提供虚假的财务状况或者业绩；</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.4.3提供虚假的项目负责人或者主要技术人员简历、劳动关系证明；</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.4.4提供虚假的信用状况；</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.4.5其他弄虚作假的行为。</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评标过程中第3</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条规定情形之一的，磋商小组必须出具违法违规认定意见并予以废标。</w:t>
      </w:r>
      <w:r/>
    </w:p>
    <w:p>
      <w:pPr>
        <w:keepLines/>
        <w:keepNex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36</w:t>
      </w:r>
      <w:r>
        <w:rPr>
          <w:rFonts w:hint="eastAsia" w:ascii="仿宋" w:hAnsi="仿宋" w:eastAsia="仿宋" w:cs="仿宋"/>
          <w:b/>
          <w:bCs/>
          <w:color w:val="auto"/>
          <w:sz w:val="28"/>
          <w:szCs w:val="28"/>
          <w:highlight w:val="none"/>
          <w:lang w:val="zh-CN"/>
        </w:rPr>
        <w:t xml:space="preserve">.违规处理</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供应商有下列情形之一的，列入不良行为记录名单，在一至三年内禁止参加靖江市政府采购活动：</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.1提供虚假响应材料谋取中标、成交的；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.2采取不正当手段诋毁、排挤其他供应商的；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.3与采购人、其他供应商或者采购代理机构恶意串通的；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.4向采购人、采购代理机构行贿或者提供其他不正当利益的；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.5在磋商采购过程中与采购人进行磋商的；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.6拒绝有关部门监督检查或者提供虚假情况的；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.7一年内累计二次以上投诉均查无实据，并带有明显故意行为的；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.8捏造事实或者提供虚假投诉材料的；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.9不按照规定程序以及正常途径质疑、投诉，采用匿名信、匿名电话、发短信息等手段，威胁、恫吓、辱骂、恶意中伤其他相关当事人的；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.10法律、法规和磋商文件中规定的其他情形。</w:t>
      </w:r>
      <w:bookmarkEnd w:id="66"/>
      <w:r/>
      <w:bookmarkStart w:id="68" w:name="_Toc329009669"/>
      <w:r/>
      <w:r/>
    </w:p>
    <w:p>
      <w:pPr>
        <w:ind w:firstLine="480"/>
        <w:spacing w:line="300" w:lineRule="auto"/>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0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第七章  签订合同、合同主要条款</w:t>
      </w:r>
      <w:bookmarkEnd w:id="68"/>
      <w:r/>
      <w:r/>
    </w:p>
    <w:p>
      <w:pPr>
        <w:keepLines/>
        <w:keepNex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37</w:t>
      </w:r>
      <w:r>
        <w:rPr>
          <w:rFonts w:hint="eastAsia" w:ascii="仿宋" w:hAnsi="仿宋" w:eastAsia="仿宋" w:cs="仿宋"/>
          <w:b/>
          <w:bCs/>
          <w:color w:val="auto"/>
          <w:sz w:val="28"/>
          <w:szCs w:val="28"/>
          <w:highlight w:val="none"/>
          <w:lang w:val="zh-CN"/>
        </w:rPr>
        <w:t xml:space="preserve">.签订合同</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zh-CN"/>
        </w:rPr>
        <w:t xml:space="preserve">.1采购人应当自中标通知书发出之日起三十日内，按照磋商文件和成交供应商响应文件的约定，与成交供应商签订书面合同。所签订合同不得对磋商文件和成交供应商响应文件作实质性修改。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zh-CN"/>
        </w:rPr>
        <w:t xml:space="preserve">.2签订的合同原则以磋商文件规定为基础，并根据评标、答疑情况进行修改补充，但该款并不限制采购人以其他方式签订合同的权利。采购人不得向成交供应商提出任何不合理的要求，作为签订合同的条件，不得与成交供应商私下订立背离合同实质性内容的协议。</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zh-CN"/>
        </w:rPr>
        <w:t xml:space="preserve">.3磋商文件、响应文件、书面承诺和中标通知书均作为经济合同的一部分，且具有法律效力。成交供应商应严格履行经济合同所规定的各项义务和责任，否则将依法处理。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zh-CN"/>
        </w:rPr>
        <w:t xml:space="preserve">.4有关法规或者磋商文件明确不允许分包方式履行合同的，成交供应商不得分包履行合同，否则将依法承担法律责任。磋商文件明确允许分包方式履行合同的，按照磋商文件规定执行。</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zh-CN"/>
        </w:rPr>
        <w:t xml:space="preserve">.5采购人应当自采购合同签订之日起七个工作日内，将采购合同副本报同级财政部门和有关部门备案。</w:t>
      </w:r>
      <w:r/>
    </w:p>
    <w:p>
      <w:pPr>
        <w:ind w:firstLine="482"/>
        <w:spacing w:line="300" w:lineRule="auto"/>
        <w:rPr>
          <w:rFonts w:ascii="仿宋" w:hAnsi="仿宋" w:eastAsia="仿宋" w:cs="仿宋"/>
          <w:b/>
          <w:bCs/>
          <w:color w:val="auto"/>
          <w:sz w:val="28"/>
          <w:szCs w:val="28"/>
          <w:highlight w:val="none"/>
          <w:lang w:val="zh-CN"/>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zh-CN"/>
        </w:rPr>
        <w:t xml:space="preserve">.6法律、行政法规规定应当办理批准、登记等手续后生效的合同，依照其规定。</w:t>
      </w:r>
      <w:r>
        <w:rPr>
          <w:rFonts w:hint="eastAsia" w:ascii="仿宋" w:hAnsi="仿宋" w:eastAsia="仿宋" w:cs="仿宋"/>
          <w:b/>
          <w:bCs/>
          <w:color w:val="auto"/>
          <w:sz w:val="28"/>
          <w:szCs w:val="28"/>
          <w:highlight w:val="none"/>
        </w:rPr>
        <w:t xml:space="preserve">38</w:t>
      </w:r>
      <w:r>
        <w:rPr>
          <w:rFonts w:hint="eastAsia" w:ascii="仿宋" w:hAnsi="仿宋" w:eastAsia="仿宋" w:cs="仿宋"/>
          <w:b/>
          <w:bCs/>
          <w:color w:val="auto"/>
          <w:sz w:val="28"/>
          <w:szCs w:val="28"/>
          <w:highlight w:val="none"/>
          <w:lang w:val="zh-CN"/>
        </w:rPr>
        <w:t xml:space="preserve">.追加合同金额</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政府采购合同履行中，采购人需要追加与合同标的相同的服务的，在不改变合同其他条款的前提下并且在签订合同后1年内，经采购人报同级财政部门批准后，可以与成交供应商协商签订补充合同，但所有补充合同的采购金额不得超过原合同采购金额的10%，否则采购人应重新组织磋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合同双方当事人不得擅自变更、中止或者终止合同。采购合同继续履行将损害国家利益和社会公共利益的，双方当事人应当变更、中止或者终止合同。有过错的一方应当承担赔偿责任，双方都有过错的，各自承担责任。</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39</w:t>
      </w:r>
      <w:r>
        <w:rPr>
          <w:rFonts w:hint="eastAsia" w:ascii="仿宋" w:hAnsi="仿宋" w:eastAsia="仿宋" w:cs="仿宋"/>
          <w:b/>
          <w:bCs/>
          <w:color w:val="auto"/>
          <w:sz w:val="28"/>
          <w:szCs w:val="28"/>
          <w:highlight w:val="none"/>
          <w:lang w:val="zh-CN"/>
        </w:rPr>
        <w:t xml:space="preserve">.服务质量与验收</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39</w:t>
      </w:r>
      <w:r>
        <w:rPr>
          <w:rFonts w:hint="eastAsia" w:ascii="仿宋" w:hAnsi="仿宋" w:eastAsia="仿宋" w:cs="仿宋"/>
          <w:color w:val="auto"/>
          <w:sz w:val="24"/>
          <w:highlight w:val="none"/>
          <w:lang w:val="zh-CN"/>
        </w:rPr>
        <w:t xml:space="preserve">.1磋商文件中的服务按照国标、部标、行业标准或者双方技术协议或者磋商文件、响应文件、书面承诺的技术要求制造。货到后，由采购人组织验收小组对服务进行验收（以《政府采购货物/服务反馈表》为准）。如对服务质量有争议，采购人可委托国家认定的相关部门或组成专家组对服务进行验收，并以相关部门或专家组验收报告为准，并由责任方承担全部责任。</w:t>
      </w:r>
      <w:r/>
    </w:p>
    <w:p>
      <w:pPr>
        <w:ind w:firstLine="482"/>
        <w:spacing w:line="30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附件1：政府采购履约验收通知单（参考样本）</w:t>
      </w:r>
      <w:r/>
    </w:p>
    <w:p>
      <w:pPr>
        <w:ind w:left="85"/>
        <w:spacing w:before="216" w:line="214" w:lineRule="auto"/>
        <w:rPr>
          <w:rFonts w:ascii="仿宋" w:hAnsi="仿宋" w:eastAsia="仿宋" w:cs="仿宋"/>
          <w:color w:val="auto"/>
          <w:sz w:val="23"/>
          <w:szCs w:val="23"/>
          <w:highlight w:val="none"/>
        </w:rPr>
      </w:pPr>
      <w:r>
        <w:rPr>
          <w:rFonts w:hint="eastAsia" w:ascii="仿宋" w:hAnsi="仿宋" w:eastAsia="仿宋" w:cs="仿宋"/>
          <w:color w:val="auto"/>
          <w:spacing w:val="9"/>
          <w:sz w:val="23"/>
          <w:szCs w:val="23"/>
          <w:highlight w:val="none"/>
        </w:rPr>
        <w:t xml:space="preserve">供应商：</w:t>
      </w:r>
      <w:r/>
    </w:p>
    <w:p>
      <w:pPr>
        <w:spacing w:line="44" w:lineRule="exact"/>
        <w:rPr>
          <w:rFonts w:ascii="仿宋" w:hAnsi="仿宋" w:eastAsia="仿宋" w:cs="仿宋"/>
          <w:color w:val="auto"/>
          <w:highlight w:val="none"/>
        </w:rPr>
      </w:pPr>
      <w:r>
        <w:rPr>
          <w:rFonts w:ascii="仿宋" w:hAnsi="仿宋" w:eastAsia="仿宋" w:cs="仿宋"/>
          <w:color w:val="auto"/>
          <w:highlight w:val="none"/>
        </w:rPr>
      </w:r>
      <w:r/>
    </w:p>
    <w:tbl>
      <w:tblPr>
        <w:tblStyle w:val="1361"/>
        <w:tblW w:w="9119"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53"/>
        <w:gridCol w:w="1918"/>
        <w:gridCol w:w="2092"/>
        <w:gridCol w:w="2556"/>
      </w:tblGrid>
      <w:tr>
        <w:trPr>
          <w:trHeight w:val="543"/>
        </w:trPr>
        <w:tc>
          <w:tcPr>
            <w:tcW w:w="2553" w:type="dxa"/>
            <w:vAlign w:val="center"/>
            <w:textDirection w:val="lrTb"/>
            <w:noWrap w:val="false"/>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采购人</w:t>
            </w:r>
            <w:r/>
          </w:p>
        </w:tc>
        <w:tc>
          <w:tcPr>
            <w:gridSpan w:val="3"/>
            <w:tcW w:w="6566" w:type="dxa"/>
            <w:vAlign w:val="center"/>
            <w:textDirection w:val="lrTb"/>
            <w:noWrap w:val="false"/>
          </w:tcPr>
          <w:p>
            <w:pPr>
              <w:pStyle w:val="1383"/>
              <w:jc w:val="center"/>
              <w:rPr>
                <w:rFonts w:ascii="仿宋" w:hAnsi="仿宋" w:eastAsia="仿宋" w:cs="仿宋"/>
                <w:color w:val="auto"/>
                <w:highlight w:val="none"/>
              </w:rPr>
            </w:pPr>
            <w:r>
              <w:rPr>
                <w:rFonts w:ascii="仿宋" w:hAnsi="仿宋" w:eastAsia="仿宋" w:cs="仿宋"/>
                <w:color w:val="auto"/>
                <w:highlight w:val="none"/>
              </w:rPr>
            </w:r>
            <w:r/>
          </w:p>
        </w:tc>
      </w:tr>
      <w:tr>
        <w:trPr>
          <w:trHeight w:val="543"/>
        </w:trPr>
        <w:tc>
          <w:tcPr>
            <w:tcW w:w="2553" w:type="dxa"/>
            <w:vAlign w:val="center"/>
            <w:textDirection w:val="lrTb"/>
            <w:noWrap w:val="false"/>
          </w:tcPr>
          <w:p>
            <w:pPr>
              <w:jc w:val="center"/>
              <w:spacing w:line="211"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项目名称</w:t>
            </w:r>
            <w:r/>
          </w:p>
        </w:tc>
        <w:tc>
          <w:tcPr>
            <w:gridSpan w:val="3"/>
            <w:tcW w:w="6566" w:type="dxa"/>
            <w:vAlign w:val="center"/>
            <w:textDirection w:val="lrTb"/>
            <w:noWrap w:val="false"/>
          </w:tcPr>
          <w:p>
            <w:pPr>
              <w:pStyle w:val="1383"/>
              <w:jc w:val="center"/>
              <w:rPr>
                <w:rFonts w:ascii="仿宋" w:hAnsi="仿宋" w:eastAsia="仿宋" w:cs="仿宋"/>
                <w:color w:val="auto"/>
                <w:highlight w:val="none"/>
              </w:rPr>
            </w:pPr>
            <w:r>
              <w:rPr>
                <w:rFonts w:ascii="仿宋" w:hAnsi="仿宋" w:eastAsia="仿宋" w:cs="仿宋"/>
                <w:color w:val="auto"/>
                <w:highlight w:val="none"/>
              </w:rPr>
            </w:r>
            <w:r/>
          </w:p>
        </w:tc>
      </w:tr>
      <w:tr>
        <w:trPr>
          <w:trHeight w:val="543"/>
        </w:trPr>
        <w:tc>
          <w:tcPr>
            <w:tcW w:w="2553" w:type="dxa"/>
            <w:vAlign w:val="center"/>
            <w:textDirection w:val="lrTb"/>
            <w:noWrap w:val="false"/>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合同名称</w:t>
            </w:r>
            <w:r/>
          </w:p>
        </w:tc>
        <w:tc>
          <w:tcPr>
            <w:gridSpan w:val="3"/>
            <w:tcW w:w="6566" w:type="dxa"/>
            <w:vAlign w:val="center"/>
            <w:textDirection w:val="lrTb"/>
            <w:noWrap w:val="false"/>
          </w:tcPr>
          <w:p>
            <w:pPr>
              <w:pStyle w:val="1383"/>
              <w:jc w:val="center"/>
              <w:rPr>
                <w:rFonts w:ascii="仿宋" w:hAnsi="仿宋" w:eastAsia="仿宋" w:cs="仿宋"/>
                <w:color w:val="auto"/>
                <w:highlight w:val="none"/>
              </w:rPr>
            </w:pPr>
            <w:r>
              <w:rPr>
                <w:rFonts w:ascii="仿宋" w:hAnsi="仿宋" w:eastAsia="仿宋" w:cs="仿宋"/>
                <w:color w:val="auto"/>
                <w:highlight w:val="none"/>
              </w:rPr>
            </w:r>
            <w:r/>
          </w:p>
        </w:tc>
      </w:tr>
      <w:tr>
        <w:trPr>
          <w:trHeight w:val="543"/>
        </w:trPr>
        <w:tc>
          <w:tcPr>
            <w:tcW w:w="2553" w:type="dxa"/>
            <w:vAlign w:val="center"/>
            <w:textDirection w:val="lrTb"/>
            <w:noWrap w:val="false"/>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合同编号</w:t>
            </w:r>
            <w:r/>
          </w:p>
        </w:tc>
        <w:tc>
          <w:tcPr>
            <w:tcW w:w="1918" w:type="dxa"/>
            <w:vAlign w:val="center"/>
            <w:textDirection w:val="lrTb"/>
            <w:noWrap w:val="false"/>
          </w:tcPr>
          <w:p>
            <w:pPr>
              <w:pStyle w:val="1383"/>
              <w:jc w:val="center"/>
              <w:rPr>
                <w:rFonts w:ascii="仿宋" w:hAnsi="仿宋" w:eastAsia="仿宋" w:cs="仿宋"/>
                <w:color w:val="auto"/>
                <w:highlight w:val="none"/>
              </w:rPr>
            </w:pPr>
            <w:r>
              <w:rPr>
                <w:rFonts w:ascii="仿宋" w:hAnsi="仿宋" w:eastAsia="仿宋" w:cs="仿宋"/>
                <w:color w:val="auto"/>
                <w:highlight w:val="none"/>
              </w:rPr>
            </w:r>
            <w:r/>
          </w:p>
        </w:tc>
        <w:tc>
          <w:tcPr>
            <w:tcW w:w="2092" w:type="dxa"/>
            <w:vAlign w:val="center"/>
            <w:textDirection w:val="lrTb"/>
            <w:noWrap w:val="false"/>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合同金额</w:t>
            </w:r>
            <w:r/>
          </w:p>
        </w:tc>
        <w:tc>
          <w:tcPr>
            <w:tcW w:w="2556" w:type="dxa"/>
            <w:vAlign w:val="center"/>
            <w:textDirection w:val="lrTb"/>
            <w:noWrap w:val="false"/>
          </w:tcPr>
          <w:p>
            <w:pPr>
              <w:pStyle w:val="1383"/>
              <w:jc w:val="center"/>
              <w:rPr>
                <w:rFonts w:ascii="仿宋" w:hAnsi="仿宋" w:eastAsia="仿宋" w:cs="仿宋"/>
                <w:color w:val="auto"/>
                <w:highlight w:val="none"/>
              </w:rPr>
            </w:pPr>
            <w:r>
              <w:rPr>
                <w:rFonts w:ascii="仿宋" w:hAnsi="仿宋" w:eastAsia="仿宋" w:cs="仿宋"/>
                <w:color w:val="auto"/>
                <w:highlight w:val="none"/>
              </w:rPr>
            </w:r>
            <w:r/>
          </w:p>
        </w:tc>
      </w:tr>
      <w:tr>
        <w:trPr>
          <w:trHeight w:val="543"/>
        </w:trPr>
        <w:tc>
          <w:tcPr>
            <w:tcW w:w="2553" w:type="dxa"/>
            <w:vAlign w:val="center"/>
            <w:textDirection w:val="lrTb"/>
            <w:noWrap w:val="false"/>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验收时间</w:t>
            </w:r>
            <w:r/>
          </w:p>
        </w:tc>
        <w:tc>
          <w:tcPr>
            <w:tcW w:w="1918" w:type="dxa"/>
            <w:vAlign w:val="center"/>
            <w:textDirection w:val="lrTb"/>
            <w:noWrap w:val="false"/>
          </w:tcPr>
          <w:p>
            <w:pPr>
              <w:pStyle w:val="1383"/>
              <w:jc w:val="center"/>
              <w:rPr>
                <w:rFonts w:ascii="仿宋" w:hAnsi="仿宋" w:eastAsia="仿宋" w:cs="仿宋"/>
                <w:color w:val="auto"/>
                <w:highlight w:val="none"/>
              </w:rPr>
            </w:pPr>
            <w:r>
              <w:rPr>
                <w:rFonts w:ascii="仿宋" w:hAnsi="仿宋" w:eastAsia="仿宋" w:cs="仿宋"/>
                <w:color w:val="auto"/>
                <w:highlight w:val="none"/>
              </w:rPr>
            </w:r>
            <w:r/>
          </w:p>
        </w:tc>
        <w:tc>
          <w:tcPr>
            <w:tcW w:w="2092" w:type="dxa"/>
            <w:vAlign w:val="center"/>
            <w:textDirection w:val="lrTb"/>
            <w:noWrap w:val="false"/>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验收地点</w:t>
            </w:r>
            <w:r/>
          </w:p>
        </w:tc>
        <w:tc>
          <w:tcPr>
            <w:tcW w:w="2556" w:type="dxa"/>
            <w:vAlign w:val="center"/>
            <w:textDirection w:val="lrTb"/>
            <w:noWrap w:val="false"/>
          </w:tcPr>
          <w:p>
            <w:pPr>
              <w:pStyle w:val="1383"/>
              <w:jc w:val="center"/>
              <w:rPr>
                <w:rFonts w:ascii="仿宋" w:hAnsi="仿宋" w:eastAsia="仿宋" w:cs="仿宋"/>
                <w:color w:val="auto"/>
                <w:highlight w:val="none"/>
              </w:rPr>
            </w:pPr>
            <w:r>
              <w:rPr>
                <w:rFonts w:ascii="仿宋" w:hAnsi="仿宋" w:eastAsia="仿宋" w:cs="仿宋"/>
                <w:color w:val="auto"/>
                <w:highlight w:val="none"/>
              </w:rPr>
            </w:r>
            <w:r/>
          </w:p>
        </w:tc>
      </w:tr>
      <w:tr>
        <w:trPr>
          <w:trHeight w:val="543"/>
        </w:trPr>
        <w:tc>
          <w:tcPr>
            <w:tcW w:w="2553" w:type="dxa"/>
            <w:vAlign w:val="center"/>
            <w:textDirection w:val="lrTb"/>
            <w:noWrap w:val="false"/>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1"/>
                <w:sz w:val="23"/>
                <w:szCs w:val="23"/>
                <w:highlight w:val="none"/>
              </w:rPr>
              <w:t xml:space="preserve">联系人</w:t>
            </w:r>
            <w:r/>
          </w:p>
        </w:tc>
        <w:tc>
          <w:tcPr>
            <w:tcW w:w="1918" w:type="dxa"/>
            <w:vAlign w:val="center"/>
            <w:textDirection w:val="lrTb"/>
            <w:noWrap w:val="false"/>
          </w:tcPr>
          <w:p>
            <w:pPr>
              <w:pStyle w:val="1383"/>
              <w:jc w:val="center"/>
              <w:rPr>
                <w:rFonts w:ascii="仿宋" w:hAnsi="仿宋" w:eastAsia="仿宋" w:cs="仿宋"/>
                <w:color w:val="auto"/>
                <w:highlight w:val="none"/>
              </w:rPr>
            </w:pPr>
            <w:r>
              <w:rPr>
                <w:rFonts w:ascii="仿宋" w:hAnsi="仿宋" w:eastAsia="仿宋" w:cs="仿宋"/>
                <w:color w:val="auto"/>
                <w:highlight w:val="none"/>
              </w:rPr>
            </w:r>
            <w:r/>
          </w:p>
        </w:tc>
        <w:tc>
          <w:tcPr>
            <w:tcW w:w="2092" w:type="dxa"/>
            <w:vAlign w:val="center"/>
            <w:textDirection w:val="lrTb"/>
            <w:noWrap w:val="false"/>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联系电话</w:t>
            </w:r>
            <w:r/>
          </w:p>
        </w:tc>
        <w:tc>
          <w:tcPr>
            <w:tcW w:w="2556" w:type="dxa"/>
            <w:vAlign w:val="center"/>
            <w:textDirection w:val="lrTb"/>
            <w:noWrap w:val="false"/>
          </w:tcPr>
          <w:p>
            <w:pPr>
              <w:pStyle w:val="1383"/>
              <w:jc w:val="center"/>
              <w:rPr>
                <w:rFonts w:ascii="仿宋" w:hAnsi="仿宋" w:eastAsia="仿宋" w:cs="仿宋"/>
                <w:color w:val="auto"/>
                <w:highlight w:val="none"/>
              </w:rPr>
            </w:pPr>
            <w:r>
              <w:rPr>
                <w:rFonts w:ascii="仿宋" w:hAnsi="仿宋" w:eastAsia="仿宋" w:cs="仿宋"/>
                <w:color w:val="auto"/>
                <w:highlight w:val="none"/>
              </w:rPr>
            </w:r>
            <w:r/>
          </w:p>
        </w:tc>
      </w:tr>
      <w:tr>
        <w:trPr>
          <w:trHeight w:val="526"/>
        </w:trPr>
        <w:tc>
          <w:tcPr>
            <w:gridSpan w:val="4"/>
            <w:tcW w:w="9119" w:type="dxa"/>
            <w:vAlign w:val="center"/>
            <w:textDirection w:val="lrTb"/>
            <w:noWrap w:val="false"/>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7"/>
                <w:sz w:val="23"/>
                <w:szCs w:val="23"/>
                <w:highlight w:val="none"/>
              </w:rPr>
              <w:t xml:space="preserve">履约验收方案及工作要求</w:t>
            </w:r>
            <w:r/>
          </w:p>
        </w:tc>
      </w:tr>
      <w:tr>
        <w:trPr>
          <w:trHeight w:val="4888"/>
        </w:trPr>
        <w:tc>
          <w:tcPr>
            <w:gridSpan w:val="4"/>
            <w:tcW w:w="9119" w:type="dxa"/>
            <w:textDirection w:val="lrTb"/>
            <w:noWrap w:val="false"/>
          </w:tcPr>
          <w:p>
            <w:pPr>
              <w:pStyle w:val="1383"/>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pStyle w:val="1383"/>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pStyle w:val="1383"/>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pStyle w:val="1383"/>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pStyle w:val="1383"/>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pStyle w:val="1383"/>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pStyle w:val="1383"/>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ind w:right="2893" w:firstLine="183"/>
              <w:spacing w:line="507"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单位公章</w:t>
            </w: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16"/>
                <w:sz w:val="23"/>
                <w:szCs w:val="23"/>
                <w:highlight w:val="none"/>
              </w:rPr>
              <w:t xml:space="preserve">年</w:t>
            </w:r>
            <w:r>
              <w:rPr>
                <w:rFonts w:hint="eastAsia" w:ascii="仿宋" w:hAnsi="仿宋" w:eastAsia="仿宋" w:cs="仿宋"/>
                <w:color w:val="auto"/>
                <w:spacing w:val="18"/>
                <w:sz w:val="23"/>
                <w:szCs w:val="23"/>
                <w:highlight w:val="none"/>
              </w:rPr>
              <w:t xml:space="preserve">  </w:t>
            </w:r>
            <w:r>
              <w:rPr>
                <w:rFonts w:hint="eastAsia" w:ascii="仿宋" w:hAnsi="仿宋" w:eastAsia="仿宋" w:cs="仿宋"/>
                <w:color w:val="auto"/>
                <w:spacing w:val="-16"/>
                <w:sz w:val="23"/>
                <w:szCs w:val="23"/>
                <w:highlight w:val="none"/>
              </w:rPr>
              <w:t xml:space="preserve">月</w:t>
            </w:r>
            <w:r>
              <w:rPr>
                <w:rFonts w:hint="eastAsia" w:ascii="仿宋" w:hAnsi="仿宋" w:eastAsia="仿宋" w:cs="仿宋"/>
                <w:color w:val="auto"/>
                <w:spacing w:val="12"/>
                <w:sz w:val="23"/>
                <w:szCs w:val="23"/>
                <w:highlight w:val="none"/>
              </w:rPr>
              <w:t xml:space="preserve">   </w:t>
            </w:r>
            <w:r>
              <w:rPr>
                <w:rFonts w:hint="eastAsia" w:ascii="仿宋" w:hAnsi="仿宋" w:eastAsia="仿宋" w:cs="仿宋"/>
                <w:color w:val="auto"/>
                <w:spacing w:val="-16"/>
                <w:sz w:val="23"/>
                <w:szCs w:val="23"/>
                <w:highlight w:val="none"/>
              </w:rPr>
              <w:t xml:space="preserve">日</w:t>
            </w:r>
            <w:r/>
          </w:p>
        </w:tc>
      </w:tr>
    </w:tbl>
    <w:p>
      <w:pPr>
        <w:pStyle w:val="923"/>
        <w:rPr>
          <w:rFonts w:ascii="仿宋" w:hAnsi="仿宋" w:eastAsia="仿宋" w:cs="仿宋"/>
          <w:color w:val="auto"/>
          <w:highlight w:val="none"/>
        </w:rPr>
        <w:sectPr>
          <w:footnotePr/>
          <w:endnotePr/>
          <w:type w:val="nextPage"/>
          <w:pgSz w:w="11906" w:h="16838" w:orient="portrait"/>
          <w:pgMar w:top="1215" w:right="1418" w:bottom="1400" w:left="1418" w:header="851" w:footer="992" w:gutter="0"/>
          <w:cols w:num="1" w:sep="0" w:space="720" w:equalWidth="1"/>
          <w:docGrid w:linePitch="360"/>
          <w:titlePg/>
        </w:sectPr>
      </w:pPr>
      <w:r>
        <w:rPr>
          <w:rFonts w:ascii="仿宋" w:hAnsi="仿宋" w:eastAsia="仿宋" w:cs="仿宋"/>
          <w:color w:val="auto"/>
          <w:highlight w:val="none"/>
        </w:rPr>
      </w:r>
      <w:r/>
    </w:p>
    <w:p>
      <w:pPr>
        <w:pStyle w:val="923"/>
        <w:rPr>
          <w:rFonts w:ascii="仿宋" w:hAnsi="仿宋" w:eastAsia="仿宋" w:cs="仿宋"/>
          <w:b/>
          <w:bCs/>
          <w:color w:val="auto"/>
          <w:highlight w:val="none"/>
        </w:rPr>
      </w:pPr>
      <w:r>
        <w:rPr>
          <w:rFonts w:hint="eastAsia" w:ascii="仿宋" w:hAnsi="仿宋" w:eastAsia="仿宋" w:cs="仿宋"/>
          <w:b/>
          <w:bCs/>
          <w:color w:val="auto"/>
          <w:highlight w:val="none"/>
        </w:rPr>
        <w:t xml:space="preserve">附件2：政府采购履约验收书参考样本(服务类)</w:t>
      </w:r>
      <w:r/>
    </w:p>
    <w:tbl>
      <w:tblPr>
        <w:tblStyle w:val="1361"/>
        <w:tblW w:w="14174"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355"/>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采购人</w:t>
            </w:r>
            <w:r/>
          </w:p>
        </w:tc>
        <w:tc>
          <w:tcPr>
            <w:tcW w:w="1714" w:type="dxa"/>
            <w:vAlign w:val="center"/>
            <w:textDirection w:val="lrTb"/>
            <w:noWrap w:val="false"/>
          </w:tcPr>
          <w:p>
            <w:pPr>
              <w:pStyle w:val="1383"/>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项目名称</w:t>
            </w:r>
            <w:r/>
          </w:p>
        </w:tc>
        <w:tc>
          <w:tcPr>
            <w:tcW w:w="2476" w:type="dxa"/>
            <w:vAlign w:val="center"/>
            <w:textDirection w:val="lrTb"/>
            <w:noWrap w:val="false"/>
          </w:tcPr>
          <w:p>
            <w:pPr>
              <w:pStyle w:val="1383"/>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合同名称</w:t>
            </w:r>
            <w:r/>
          </w:p>
        </w:tc>
        <w:tc>
          <w:tcPr>
            <w:tcW w:w="2556" w:type="dxa"/>
            <w:vAlign w:val="center"/>
            <w:textDirection w:val="lrTb"/>
            <w:noWrap w:val="false"/>
          </w:tcPr>
          <w:p>
            <w:pPr>
              <w:pStyle w:val="1383"/>
              <w:rPr>
                <w:rFonts w:ascii="仿宋" w:hAnsi="仿宋" w:eastAsia="仿宋" w:cs="仿宋"/>
                <w:color w:val="auto"/>
                <w:highlight w:val="none"/>
              </w:rPr>
            </w:pPr>
            <w:r>
              <w:rPr>
                <w:rFonts w:ascii="仿宋" w:hAnsi="仿宋" w:eastAsia="仿宋" w:cs="仿宋"/>
                <w:color w:val="auto"/>
                <w:highlight w:val="none"/>
              </w:rPr>
            </w:r>
            <w:r/>
          </w:p>
        </w:tc>
      </w:tr>
      <w:tr>
        <w:trPr>
          <w:trHeight w:val="346"/>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供应商</w:t>
            </w:r>
            <w:r/>
          </w:p>
        </w:tc>
        <w:tc>
          <w:tcPr>
            <w:tcW w:w="1714" w:type="dxa"/>
            <w:vAlign w:val="center"/>
            <w:textDirection w:val="lrTb"/>
            <w:noWrap w:val="false"/>
          </w:tcPr>
          <w:p>
            <w:pPr>
              <w:pStyle w:val="1383"/>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项目及合同编号</w:t>
            </w:r>
            <w:r/>
          </w:p>
        </w:tc>
        <w:tc>
          <w:tcPr>
            <w:tcW w:w="2476" w:type="dxa"/>
            <w:vAlign w:val="center"/>
            <w:textDirection w:val="lrTb"/>
            <w:noWrap w:val="false"/>
          </w:tcPr>
          <w:p>
            <w:pPr>
              <w:pStyle w:val="1383"/>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合同金额</w:t>
            </w:r>
            <w:r/>
          </w:p>
        </w:tc>
        <w:tc>
          <w:tcPr>
            <w:tcW w:w="2556" w:type="dxa"/>
            <w:vAlign w:val="center"/>
            <w:textDirection w:val="lrTb"/>
            <w:noWrap w:val="false"/>
          </w:tcPr>
          <w:p>
            <w:pPr>
              <w:pStyle w:val="1383"/>
              <w:rPr>
                <w:rFonts w:ascii="仿宋" w:hAnsi="仿宋" w:eastAsia="仿宋" w:cs="仿宋"/>
                <w:color w:val="auto"/>
                <w:highlight w:val="none"/>
              </w:rPr>
            </w:pPr>
            <w:r>
              <w:rPr>
                <w:rFonts w:ascii="仿宋" w:hAnsi="仿宋" w:eastAsia="仿宋" w:cs="仿宋"/>
                <w:color w:val="auto"/>
                <w:highlight w:val="none"/>
              </w:rPr>
            </w:r>
            <w:r/>
          </w:p>
        </w:tc>
      </w:tr>
      <w:tr>
        <w:trPr>
          <w:trHeight w:val="417"/>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分期（段）验收</w:t>
            </w:r>
            <w:r/>
          </w:p>
        </w:tc>
        <w:tc>
          <w:tcPr>
            <w:tcW w:w="1714"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6"/>
                <w:position w:val="1"/>
                <w:szCs w:val="21"/>
                <w:highlight w:val="none"/>
              </w:rPr>
              <w:t xml:space="preserve">是□</w:t>
            </w:r>
            <w:r>
              <w:rPr>
                <w:rFonts w:hint="eastAsia" w:ascii="仿宋" w:hAnsi="仿宋" w:eastAsia="仿宋" w:cs="仿宋"/>
                <w:color w:val="auto"/>
                <w:spacing w:val="4"/>
                <w:position w:val="1"/>
                <w:szCs w:val="21"/>
                <w:highlight w:val="none"/>
              </w:rPr>
              <w:t xml:space="preserve">   </w:t>
            </w:r>
            <w:r>
              <w:rPr>
                <w:rFonts w:hint="eastAsia" w:ascii="仿宋" w:hAnsi="仿宋" w:eastAsia="仿宋" w:cs="仿宋"/>
                <w:color w:val="auto"/>
                <w:spacing w:val="-6"/>
                <w:position w:val="1"/>
                <w:szCs w:val="21"/>
                <w:highlight w:val="none"/>
              </w:rPr>
              <w:t xml:space="preserve">否□</w:t>
            </w:r>
            <w:r/>
          </w:p>
        </w:tc>
        <w:tc>
          <w:tcPr>
            <w:tcW w:w="181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分期（段）情况</w:t>
            </w:r>
            <w:r/>
          </w:p>
        </w:tc>
        <w:tc>
          <w:tcPr>
            <w:gridSpan w:val="4"/>
            <w:tcW w:w="901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共分   期（段</w:t>
            </w:r>
            <w:r>
              <w:rPr>
                <w:rFonts w:hint="eastAsia" w:ascii="仿宋" w:hAnsi="仿宋" w:eastAsia="仿宋" w:cs="仿宋"/>
                <w:color w:val="auto"/>
                <w:spacing w:val="6"/>
                <w:position w:val="1"/>
                <w:szCs w:val="21"/>
                <w:highlight w:val="none"/>
              </w:rPr>
              <w:t xml:space="preserve">），</w:t>
            </w:r>
            <w:r>
              <w:rPr>
                <w:rFonts w:hint="eastAsia" w:ascii="仿宋" w:hAnsi="仿宋" w:eastAsia="仿宋" w:cs="仿宋"/>
                <w:color w:val="auto"/>
                <w:spacing w:val="-1"/>
                <w:position w:val="1"/>
                <w:szCs w:val="21"/>
                <w:highlight w:val="none"/>
              </w:rPr>
              <w:t xml:space="preserve">此为第   期（段）验收</w:t>
            </w:r>
            <w:r/>
          </w:p>
        </w:tc>
      </w:tr>
      <w:tr>
        <w:trPr>
          <w:trHeight w:val="237"/>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验收时间</w:t>
            </w:r>
            <w:r/>
          </w:p>
        </w:tc>
        <w:tc>
          <w:tcPr>
            <w:tcW w:w="1714" w:type="dxa"/>
            <w:vAlign w:val="center"/>
            <w:textDirection w:val="lrTb"/>
            <w:noWrap w:val="false"/>
          </w:tcPr>
          <w:p>
            <w:pPr>
              <w:pStyle w:val="1383"/>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验收地点</w:t>
            </w:r>
            <w:r/>
          </w:p>
        </w:tc>
        <w:tc>
          <w:tcPr>
            <w:tcW w:w="2476" w:type="dxa"/>
            <w:vAlign w:val="center"/>
            <w:textDirection w:val="lrTb"/>
            <w:noWrap w:val="false"/>
          </w:tcPr>
          <w:p>
            <w:pPr>
              <w:pStyle w:val="1383"/>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验收组织形式</w:t>
            </w:r>
            <w:r/>
          </w:p>
        </w:tc>
        <w:tc>
          <w:tcPr>
            <w:tcW w:w="2556"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□自行简易验收</w:t>
            </w:r>
            <w:r/>
          </w:p>
          <w:p>
            <w:pPr>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□验收小组验收</w:t>
            </w:r>
            <w:r/>
          </w:p>
          <w:p>
            <w:pPr>
              <w:rPr>
                <w:rFonts w:ascii="仿宋" w:hAnsi="仿宋" w:eastAsia="仿宋" w:cs="仿宋"/>
                <w:color w:val="auto"/>
                <w:szCs w:val="21"/>
                <w:highlight w:val="none"/>
              </w:rPr>
            </w:pPr>
            <w:r>
              <w:rPr>
                <w:rFonts w:hint="eastAsia" w:ascii="仿宋" w:hAnsi="仿宋" w:eastAsia="仿宋" w:cs="仿宋"/>
                <w:color w:val="auto"/>
                <w:spacing w:val="-3"/>
                <w:position w:val="1"/>
                <w:szCs w:val="21"/>
                <w:highlight w:val="none"/>
              </w:rPr>
              <w:t xml:space="preserve">□采购代理机构验收</w:t>
            </w:r>
            <w:r/>
          </w:p>
        </w:tc>
      </w:tr>
      <w:tr>
        <w:trPr>
          <w:trHeight w:val="90"/>
        </w:trPr>
        <w:tc>
          <w:tcPr>
            <w:tcBorders>
              <w:bottom w:val="none" w:color="000000" w:sz="4" w:space="0"/>
            </w:tcBorders>
            <w:tcW w:w="1625" w:type="dxa"/>
            <w:vAlign w:val="center"/>
            <w:vMerge w:val="restart"/>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验收内容</w:t>
            </w:r>
            <w:r/>
          </w:p>
        </w:tc>
        <w:tc>
          <w:tcPr>
            <w:tcW w:w="1714"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服务质量</w:t>
            </w:r>
            <w:r/>
          </w:p>
        </w:tc>
        <w:tc>
          <w:tcPr>
            <w:tcW w:w="181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服务进度</w:t>
            </w:r>
            <w:r/>
          </w:p>
        </w:tc>
        <w:tc>
          <w:tcPr>
            <w:tcW w:w="247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人员、设备 配备情况</w:t>
            </w:r>
            <w:r/>
          </w:p>
        </w:tc>
        <w:tc>
          <w:tcPr>
            <w:tcW w:w="170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行业、安全标准</w:t>
            </w:r>
            <w:r/>
          </w:p>
        </w:tc>
        <w:tc>
          <w:tcPr>
            <w:tcW w:w="228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项目需求、服务承诺</w:t>
            </w:r>
            <w:r/>
          </w:p>
        </w:tc>
        <w:tc>
          <w:tcPr>
            <w:tcW w:w="255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合同履约时间、 地点、方式</w:t>
            </w:r>
            <w:r/>
          </w:p>
        </w:tc>
      </w:tr>
      <w:tr>
        <w:trPr>
          <w:trHeight w:val="90"/>
        </w:trPr>
        <w:tc>
          <w:tcPr>
            <w:tcBorders>
              <w:top w:val="none" w:color="000000" w:sz="4" w:space="0"/>
            </w:tcBorders>
            <w:tcW w:w="1625" w:type="dxa"/>
            <w:vAlign w:val="center"/>
            <w:vMerge w:val="continue"/>
            <w:textDirection w:val="lrTb"/>
            <w:noWrap w:val="false"/>
          </w:tcPr>
          <w:p>
            <w:pPr>
              <w:pStyle w:val="1383"/>
              <w:rPr>
                <w:rFonts w:ascii="仿宋" w:hAnsi="仿宋" w:eastAsia="仿宋" w:cs="仿宋"/>
                <w:color w:val="auto"/>
                <w:highlight w:val="none"/>
                <w:lang w:eastAsia="zh-CN"/>
              </w:rPr>
            </w:pPr>
            <w:r>
              <w:rPr>
                <w:rFonts w:ascii="仿宋" w:hAnsi="仿宋" w:eastAsia="仿宋" w:cs="仿宋"/>
                <w:color w:val="auto"/>
                <w:highlight w:val="none"/>
                <w:lang w:eastAsia="zh-CN"/>
              </w:rPr>
            </w:r>
            <w:r/>
          </w:p>
        </w:tc>
        <w:tc>
          <w:tcPr>
            <w:tcW w:w="1714" w:type="dxa"/>
            <w:vAlign w:val="center"/>
            <w:textDirection w:val="lrTb"/>
            <w:noWrap w:val="false"/>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816" w:type="dxa"/>
            <w:vAlign w:val="center"/>
            <w:textDirection w:val="lrTb"/>
            <w:noWrap w:val="false"/>
          </w:tcPr>
          <w:p>
            <w:pPr>
              <w:ind w:hanging="1"/>
              <w:rPr>
                <w:rFonts w:ascii="仿宋" w:hAnsi="仿宋" w:eastAsia="仿宋" w:cs="仿宋"/>
                <w:color w:val="auto"/>
                <w:szCs w:val="21"/>
                <w:highlight w:val="none"/>
              </w:rPr>
            </w:pPr>
            <w:r>
              <w:rPr>
                <w:rFonts w:hint="eastAsia" w:ascii="仿宋" w:hAnsi="仿宋" w:eastAsia="仿宋" w:cs="仿宋"/>
                <w:color w:val="auto"/>
                <w:spacing w:val="-8"/>
                <w:szCs w:val="21"/>
                <w:highlight w:val="none"/>
              </w:rPr>
              <w:t xml:space="preserve">按</w:t>
            </w:r>
            <w:r>
              <w:rPr>
                <w:rFonts w:hint="eastAsia" w:ascii="仿宋" w:hAnsi="仿宋" w:eastAsia="仿宋" w:cs="仿宋"/>
                <w:color w:val="auto"/>
                <w:spacing w:val="7"/>
                <w:szCs w:val="21"/>
                <w:highlight w:val="none"/>
              </w:rPr>
              <w:t xml:space="preserve">  </w:t>
            </w:r>
            <w:r>
              <w:rPr>
                <w:rFonts w:hint="eastAsia" w:ascii="仿宋" w:hAnsi="仿宋" w:eastAsia="仿宋" w:cs="仿宋"/>
                <w:color w:val="auto"/>
                <w:spacing w:val="-8"/>
                <w:szCs w:val="21"/>
                <w:highlight w:val="none"/>
              </w:rPr>
              <w:t xml:space="preserve">时□</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不按时□</w:t>
            </w:r>
            <w:r/>
          </w:p>
        </w:tc>
        <w:tc>
          <w:tcPr>
            <w:tcW w:w="2476" w:type="dxa"/>
            <w:vAlign w:val="center"/>
            <w:textDirection w:val="lrTb"/>
            <w:noWrap w:val="false"/>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705" w:type="dxa"/>
            <w:vAlign w:val="center"/>
            <w:textDirection w:val="lrTb"/>
            <w:noWrap w:val="false"/>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282" w:type="dxa"/>
            <w:vAlign w:val="center"/>
            <w:textDirection w:val="lrTb"/>
            <w:noWrap w:val="false"/>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556" w:type="dxa"/>
            <w:vAlign w:val="center"/>
            <w:textDirection w:val="lrTb"/>
            <w:noWrap w:val="false"/>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r>
      <w:tr>
        <w:trPr>
          <w:trHeight w:val="90"/>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专业检测机构情</w:t>
            </w:r>
            <w:r/>
          </w:p>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况说明</w:t>
            </w:r>
            <w:r/>
          </w:p>
        </w:tc>
        <w:tc>
          <w:tcPr>
            <w:gridSpan w:val="6"/>
            <w:tcW w:w="12549" w:type="dxa"/>
            <w:vAlign w:val="center"/>
            <w:textDirection w:val="lrTb"/>
            <w:noWrap w:val="false"/>
          </w:tcPr>
          <w:p>
            <w:pPr>
              <w:pStyle w:val="1383"/>
              <w:rPr>
                <w:rFonts w:ascii="仿宋" w:hAnsi="仿宋" w:eastAsia="仿宋" w:cs="仿宋"/>
                <w:color w:val="auto"/>
                <w:highlight w:val="none"/>
                <w:lang w:eastAsia="zh-CN"/>
              </w:rPr>
            </w:pPr>
            <w:r>
              <w:rPr>
                <w:rFonts w:ascii="仿宋" w:hAnsi="仿宋" w:eastAsia="仿宋" w:cs="仿宋"/>
                <w:color w:val="auto"/>
                <w:highlight w:val="none"/>
                <w:lang w:eastAsia="zh-CN"/>
              </w:rPr>
            </w:r>
            <w:r/>
          </w:p>
        </w:tc>
      </w:tr>
      <w:tr>
        <w:trPr>
          <w:trHeight w:val="90"/>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存在问题</w:t>
            </w:r>
            <w:r/>
          </w:p>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和改进意见</w:t>
            </w:r>
            <w:r/>
          </w:p>
        </w:tc>
        <w:tc>
          <w:tcPr>
            <w:gridSpan w:val="6"/>
            <w:tcW w:w="12549" w:type="dxa"/>
            <w:vAlign w:val="center"/>
            <w:textDirection w:val="lrTb"/>
            <w:noWrap w:val="false"/>
          </w:tcPr>
          <w:p>
            <w:pPr>
              <w:pStyle w:val="1383"/>
              <w:rPr>
                <w:rFonts w:ascii="仿宋" w:hAnsi="仿宋" w:eastAsia="仿宋" w:cs="仿宋"/>
                <w:color w:val="auto"/>
                <w:highlight w:val="none"/>
              </w:rPr>
            </w:pPr>
            <w:r>
              <w:rPr>
                <w:rFonts w:ascii="仿宋" w:hAnsi="仿宋" w:eastAsia="仿宋" w:cs="仿宋"/>
                <w:color w:val="auto"/>
                <w:highlight w:val="none"/>
              </w:rPr>
            </w:r>
            <w:r/>
          </w:p>
        </w:tc>
      </w:tr>
      <w:tr>
        <w:trPr>
          <w:trHeight w:val="367"/>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最终结论</w:t>
            </w:r>
            <w:r/>
          </w:p>
        </w:tc>
        <w:tc>
          <w:tcPr>
            <w:gridSpan w:val="6"/>
            <w:tcW w:w="1254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合  格□</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2"/>
                <w:position w:val="1"/>
                <w:szCs w:val="21"/>
                <w:highlight w:val="none"/>
              </w:rPr>
              <w:t xml:space="preserve">不合格□</w:t>
            </w:r>
            <w:r/>
          </w:p>
        </w:tc>
      </w:tr>
      <w:tr>
        <w:trPr>
          <w:trHeight w:val="289"/>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验收小组成员</w:t>
            </w:r>
            <w:r/>
          </w:p>
          <w:p>
            <w:pPr>
              <w:jc w:val="center"/>
              <w:rPr>
                <w:rFonts w:ascii="仿宋" w:hAnsi="仿宋" w:eastAsia="仿宋" w:cs="仿宋"/>
                <w:color w:val="auto"/>
                <w:szCs w:val="21"/>
                <w:highlight w:val="none"/>
              </w:rPr>
            </w:pPr>
            <w:r>
              <w:rPr>
                <w:rFonts w:hint="eastAsia" w:ascii="仿宋" w:hAnsi="仿宋" w:eastAsia="仿宋" w:cs="仿宋"/>
                <w:color w:val="auto"/>
                <w:spacing w:val="-4"/>
                <w:szCs w:val="21"/>
                <w:highlight w:val="none"/>
              </w:rPr>
              <w:t xml:space="preserve">签字</w:t>
            </w:r>
            <w:r/>
          </w:p>
        </w:tc>
        <w:tc>
          <w:tcPr>
            <w:gridSpan w:val="6"/>
            <w:tcW w:w="12549" w:type="dxa"/>
            <w:vAlign w:val="center"/>
            <w:textDirection w:val="lrTb"/>
            <w:noWrap w:val="false"/>
          </w:tcPr>
          <w:p>
            <w:pPr>
              <w:pStyle w:val="1383"/>
              <w:rPr>
                <w:rFonts w:ascii="仿宋" w:hAnsi="仿宋" w:eastAsia="仿宋" w:cs="仿宋"/>
                <w:color w:val="auto"/>
                <w:highlight w:val="none"/>
              </w:rPr>
            </w:pPr>
            <w:r>
              <w:rPr>
                <w:rFonts w:ascii="仿宋" w:hAnsi="仿宋" w:eastAsia="仿宋" w:cs="仿宋"/>
                <w:color w:val="auto"/>
                <w:highlight w:val="none"/>
              </w:rPr>
            </w:r>
            <w:r/>
          </w:p>
        </w:tc>
      </w:tr>
      <w:tr>
        <w:trPr>
          <w:trHeight w:val="559"/>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采购代理机构意见</w:t>
            </w:r>
            <w:r/>
          </w:p>
        </w:tc>
        <w:tc>
          <w:tcPr>
            <w:gridSpan w:val="6"/>
            <w:tcW w:w="1254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采购人意见</w:t>
            </w:r>
            <w:r/>
          </w:p>
        </w:tc>
      </w:tr>
      <w:tr>
        <w:trPr>
          <w:trHeight w:val="1119"/>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spacing w:val="1"/>
                <w:position w:val="1"/>
                <w:szCs w:val="21"/>
                <w:highlight w:val="none"/>
              </w:rPr>
              <w:t xml:space="preserve">采购代理机构公章）</w:t>
            </w:r>
            <w:r/>
          </w:p>
        </w:tc>
        <w:tc>
          <w:tcPr>
            <w:gridSpan w:val="6"/>
            <w:tcW w:w="1254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spacing w:val="1"/>
                <w:position w:val="1"/>
                <w:szCs w:val="21"/>
                <w:highlight w:val="none"/>
              </w:rPr>
              <w:t xml:space="preserve">采购人公章）</w:t>
            </w:r>
            <w:r/>
          </w:p>
        </w:tc>
      </w:tr>
      <w:tr>
        <w:trPr>
          <w:trHeight w:val="92"/>
        </w:trPr>
        <w:tc>
          <w:tcPr>
            <w:gridSpan w:val="7"/>
            <w:tcW w:w="14174"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供应商确认：</w:t>
            </w:r>
            <w:r/>
          </w:p>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（单位公章或授权代表签字）</w:t>
            </w:r>
            <w:r/>
          </w:p>
        </w:tc>
      </w:tr>
    </w:tbl>
    <w:p>
      <w:pPr>
        <w:ind w:left="85"/>
        <w:spacing w:before="296" w:line="211"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说明：1.该表为服务类项目履约验收的参考样表，采购人或采购代理机构可以</w:t>
      </w:r>
      <w:r>
        <w:rPr>
          <w:rFonts w:hint="eastAsia" w:ascii="仿宋" w:hAnsi="仿宋" w:eastAsia="仿宋" w:cs="仿宋"/>
          <w:color w:val="auto"/>
          <w:spacing w:val="-1"/>
          <w:szCs w:val="21"/>
          <w:highlight w:val="none"/>
        </w:rPr>
        <w:t xml:space="preserve">根据工作实际进行调整。</w:t>
      </w:r>
      <w:r/>
    </w:p>
    <w:p>
      <w:pPr>
        <w:spacing w:line="295" w:lineRule="auto"/>
        <w:rPr>
          <w:rFonts w:ascii="仿宋" w:hAnsi="仿宋" w:eastAsia="仿宋" w:cs="仿宋"/>
          <w:color w:val="auto"/>
          <w:szCs w:val="21"/>
          <w:highlight w:val="none"/>
        </w:rPr>
      </w:pPr>
      <w:r>
        <w:rPr>
          <w:rFonts w:ascii="仿宋" w:hAnsi="仿宋" w:eastAsia="仿宋" w:cs="仿宋"/>
          <w:color w:val="auto"/>
          <w:szCs w:val="21"/>
          <w:highlight w:val="none"/>
        </w:rPr>
      </w:r>
      <w:r/>
    </w:p>
    <w:p>
      <w:pPr>
        <w:pStyle w:val="923"/>
        <w:jc w:val="left"/>
        <w:rPr>
          <w:rFonts w:ascii="仿宋" w:hAnsi="仿宋" w:eastAsia="仿宋" w:cs="仿宋"/>
          <w:b/>
          <w:bCs/>
          <w:color w:val="auto"/>
          <w:sz w:val="28"/>
          <w:szCs w:val="28"/>
          <w:highlight w:val="none"/>
        </w:rPr>
        <w:sectPr>
          <w:footnotePr/>
          <w:endnotePr/>
          <w:type w:val="nextPage"/>
          <w:pgSz w:w="16838" w:h="11905" w:orient="landscape"/>
          <w:pgMar w:top="1417" w:right="1213" w:bottom="1417" w:left="1400" w:header="850" w:footer="992" w:gutter="0"/>
          <w:cols w:num="1" w:sep="0" w:space="0" w:equalWidth="1"/>
          <w:docGrid w:linePitch="360"/>
          <w:titlePg/>
        </w:sectPr>
      </w:pPr>
      <w:r>
        <w:rPr>
          <w:rFonts w:hint="eastAsia" w:ascii="仿宋" w:hAnsi="仿宋" w:eastAsia="仿宋" w:cs="仿宋"/>
          <w:color w:val="auto"/>
          <w:sz w:val="21"/>
          <w:szCs w:val="21"/>
          <w:highlight w:val="none"/>
        </w:rPr>
        <w:t xml:space="preserve">2.未委托采购代理机构开展履约验收工作的，无需填写“</w:t>
      </w:r>
      <w:r>
        <w:rPr>
          <w:rFonts w:hint="eastAsia" w:ascii="仿宋" w:hAnsi="仿宋" w:eastAsia="仿宋" w:cs="仿宋"/>
          <w:color w:val="auto"/>
          <w:spacing w:val="-1"/>
          <w:sz w:val="21"/>
          <w:szCs w:val="21"/>
          <w:highlight w:val="none"/>
        </w:rPr>
        <w:t xml:space="preserve">采购代理机构意见</w:t>
      </w:r>
      <w:r>
        <w:rPr>
          <w:rFonts w:hint="eastAsia" w:ascii="仿宋" w:hAnsi="仿宋" w:eastAsia="仿宋" w:cs="仿宋"/>
          <w:color w:val="auto"/>
          <w:spacing w:val="-66"/>
          <w:sz w:val="21"/>
          <w:szCs w:val="21"/>
          <w:highlight w:val="none"/>
        </w:rPr>
        <w:t xml:space="preserve"> </w:t>
      </w:r>
      <w:r>
        <w:rPr>
          <w:rFonts w:hint="eastAsia" w:ascii="仿宋" w:hAnsi="仿宋" w:eastAsia="仿宋" w:cs="仿宋"/>
          <w:color w:val="auto"/>
          <w:spacing w:val="-1"/>
          <w:sz w:val="21"/>
          <w:szCs w:val="21"/>
          <w:highlight w:val="none"/>
        </w:rPr>
        <w:t xml:space="preserve">”。</w:t>
      </w:r>
      <w:r/>
    </w:p>
    <w:p>
      <w:pPr>
        <w:jc w:val="lef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40</w:t>
      </w:r>
      <w:r>
        <w:rPr>
          <w:rFonts w:hint="eastAsia" w:ascii="仿宋" w:hAnsi="仿宋" w:eastAsia="仿宋" w:cs="仿宋"/>
          <w:b/>
          <w:bCs/>
          <w:color w:val="auto"/>
          <w:sz w:val="28"/>
          <w:szCs w:val="28"/>
          <w:highlight w:val="none"/>
          <w:lang w:val="zh-CN"/>
        </w:rPr>
        <w:t xml:space="preserve">.合同主要条款</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以下为招标方提出中标后签定本项目合同的通用条款，中标供应商不得提出实质性的修改，关于专用条款将由采购人与中标供应商结合本项目具体情况协商后签订。</w:t>
      </w:r>
      <w:r/>
    </w:p>
    <w:p>
      <w:pPr>
        <w:pStyle w:val="1099"/>
        <w:jc w:val="center"/>
        <w:keepLines w:val="0"/>
        <w:keepNext w:val="0"/>
        <w:spacing w:before="0" w:after="0"/>
        <w:rPr>
          <w:rFonts w:ascii="仿宋" w:hAnsi="仿宋" w:eastAsia="仿宋"/>
          <w:color w:val="auto"/>
          <w:sz w:val="24"/>
          <w:szCs w:val="24"/>
          <w:highlight w:val="none"/>
        </w:rPr>
      </w:pPr>
      <w:r/>
      <w:bookmarkStart w:id="69" w:name="_Toc27411"/>
      <w:r>
        <w:rPr>
          <w:rFonts w:hint="eastAsia" w:ascii="仿宋" w:hAnsi="仿宋" w:eastAsia="仿宋"/>
          <w:color w:val="auto"/>
          <w:sz w:val="24"/>
          <w:szCs w:val="24"/>
          <w:highlight w:val="none"/>
        </w:rPr>
        <w:t xml:space="preserve">合同协议书</w:t>
      </w:r>
      <w:bookmarkEnd w:id="69"/>
      <w:r/>
      <w:r/>
    </w:p>
    <w:p>
      <w:pPr>
        <w:jc w:val="center"/>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                                              合同号：</w:t>
      </w:r>
      <w:r/>
    </w:p>
    <w:p>
      <w:pPr>
        <w:spacing w:line="300" w:lineRule="auto"/>
        <w:rPr>
          <w:rFonts w:ascii="仿宋" w:hAnsi="仿宋" w:eastAsia="仿宋" w:cs="宋体"/>
          <w:color w:val="auto"/>
          <w:sz w:val="24"/>
          <w:highlight w:val="none"/>
          <w:u w:val="single"/>
        </w:rPr>
      </w:pPr>
      <w:r>
        <w:rPr>
          <w:rFonts w:hint="eastAsia" w:ascii="仿宋" w:hAnsi="仿宋" w:eastAsia="仿宋" w:cs="宋体"/>
          <w:color w:val="auto"/>
          <w:sz w:val="24"/>
          <w:highlight w:val="none"/>
        </w:rPr>
        <w:t xml:space="preserve">甲方（采购人）：</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u w:val="single"/>
          <w:lang w:val="en-GB"/>
        </w:rPr>
        <w:t xml:space="preserve">泰州市靖江生态环境局</w:t>
      </w:r>
      <w:r>
        <w:rPr>
          <w:rFonts w:hint="eastAsia" w:ascii="仿宋" w:hAnsi="仿宋" w:eastAsia="仿宋" w:cs="宋体"/>
          <w:color w:val="auto"/>
          <w:sz w:val="24"/>
          <w:highlight w:val="none"/>
          <w:u w:val="single"/>
        </w:rPr>
        <w:t xml:space="preserve">               </w:t>
      </w:r>
      <w:r/>
    </w:p>
    <w:p>
      <w:pPr>
        <w:spacing w:line="300" w:lineRule="auto"/>
        <w:rPr>
          <w:rFonts w:ascii="仿宋" w:hAnsi="仿宋" w:eastAsia="仿宋" w:cs="宋体"/>
          <w:color w:val="auto"/>
          <w:sz w:val="24"/>
          <w:highlight w:val="none"/>
          <w:u w:val="single"/>
        </w:rPr>
      </w:pPr>
      <w:r>
        <w:rPr>
          <w:rFonts w:hint="eastAsia" w:ascii="仿宋" w:hAnsi="仿宋" w:eastAsia="仿宋" w:cs="宋体"/>
          <w:color w:val="auto"/>
          <w:sz w:val="24"/>
          <w:highlight w:val="none"/>
        </w:rPr>
        <w:t xml:space="preserve">乙方（供应商）：</w:t>
      </w:r>
      <w:r>
        <w:rPr>
          <w:rFonts w:hint="eastAsia" w:ascii="仿宋" w:hAnsi="仿宋" w:eastAsia="仿宋" w:cs="宋体"/>
          <w:color w:val="auto"/>
          <w:sz w:val="24"/>
          <w:highlight w:val="none"/>
          <w:u w:val="single"/>
        </w:rPr>
        <w:t xml:space="preserve">                                                      </w:t>
      </w:r>
      <w:r/>
    </w:p>
    <w:p>
      <w:pPr>
        <w:ind w:firstLine="440"/>
        <w:spacing w:line="300" w:lineRule="auto"/>
        <w:rPr>
          <w:rFonts w:ascii="仿宋" w:hAnsi="仿宋" w:eastAsia="仿宋" w:cs="宋体"/>
          <w:color w:val="auto"/>
          <w:sz w:val="24"/>
          <w:highlight w:val="none"/>
        </w:rPr>
      </w:pPr>
      <w:r>
        <w:rPr>
          <w:rFonts w:ascii="仿宋" w:hAnsi="仿宋" w:eastAsia="仿宋" w:cs="宋体"/>
          <w:color w:val="auto"/>
          <w:sz w:val="24"/>
          <w:highlight w:val="none"/>
        </w:rPr>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依据《中华人民共和国民法典》、《中华人民共和国政府采购法》与项目行业有关的法律法规，以及</w:t>
      </w:r>
      <w:r>
        <w:rPr>
          <w:rFonts w:hint="eastAsia" w:ascii="仿宋" w:hAnsi="仿宋" w:eastAsia="仿宋" w:cs="宋体"/>
          <w:color w:val="auto"/>
          <w:sz w:val="24"/>
          <w:highlight w:val="none"/>
          <w:u w:val="single"/>
          <w:lang w:val="en-GB"/>
        </w:rPr>
        <w:t xml:space="preserve">靖江市美丽河湖水生态调查评估项目</w:t>
      </w:r>
      <w:r>
        <w:rPr>
          <w:rFonts w:hint="eastAsia" w:ascii="仿宋" w:hAnsi="仿宋" w:eastAsia="仿宋" w:cs="宋体"/>
          <w:color w:val="auto"/>
          <w:sz w:val="24"/>
          <w:highlight w:val="none"/>
        </w:rPr>
        <w:t xml:space="preserve">项目（项目编号：XXXX）的《招标文件》，乙方的《响应文件》及《成交通知书》，甲、乙双方同意签订本合同。详细技术说明及其他有关合同项目的特定信息由合同附件予以说明，合同附件及本项目的《招标文件》、《响应文件》、《成交通知书》等均为本合同的组成部分。 </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合同编号：XXXX。</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签订地点：XXXX。</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签订时间：XXXX年XX月XX日。</w:t>
      </w:r>
      <w:r/>
    </w:p>
    <w:p>
      <w:pPr>
        <w:numPr>
          <w:ilvl w:val="0"/>
          <w:numId w:val="7"/>
        </w:numPr>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工作内容</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根据《关于印发&lt;江苏省美丽河湖保护与建设实施指导方案&gt;的通知</w:t>
      </w:r>
      <w:r>
        <w:rPr>
          <w:rFonts w:hint="eastAsia" w:ascii="仿宋" w:hAnsi="仿宋" w:eastAsia="仿宋"/>
          <w:color w:val="auto"/>
          <w:sz w:val="24"/>
          <w:szCs w:val="19"/>
          <w:highlight w:val="none"/>
          <w:lang w:val="zh-CN"/>
        </w:rPr>
        <w:t xml:space="preserve">》（苏污防攻坚指办﹝2024﹞27号）《泰州市美丽河湖保护与建设实施指导方案》（泰污防攻坚指办﹝2024﹞18号）要求，对靖江市纳入美丽河湖建设任务清单的长江（靖江段）、十圩港、上六圩港等3条河道，逐条开展生态状况调查评估，对已创建成功的省级美丽河湖开展跟踪监测评价；同步提出美丽河湖实施方案，并按上级部门对省市级美丽河湖创建的时序要求，逐条开展成效评估及省市美丽河湖申报工作。同时，结合国考断面优良水体考核需求，对夏仕港大桥国考断面及周边水域开展生态环境调查，诊断生态退化及生物多样性降低原因，并提出修复方案。</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1.1美丽河湖水生态调查评估</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按照《江苏省美丽河湖保护与建设管理办法（试行）》《江苏省美丽河湖评价技术指南（试行）》及相关监测评价指南要求，对靖江市纳入美丽河湖建设清单范围的长江（靖江段）、上六圩港、十圩港等3条美丽河湖，衔接长江流域水生态考核试点等工作，逐条开展水生态调查评估，对已创建成功的省级美丽河湖开展跟踪监测评价，评估内容涵盖水生植被、着生藻类、鱼类、重点水生动物、大型底栖无脊椎动物、外来物种入侵、自然岸线等多项重点指标，每条河道开展1~3次调查（每项指标涉及点位4~6个）。</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（2）针对夏仕港国考断面“十五五”优良水体考核需求，对夏仕港大桥国考断面及周边水域补充开展水下地形、底质、水质、水生生物等指标专项调查，并进行生态状况及生境问题诊断评估。</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1.2美丽河湖保护与建设实施方案编制</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基于长江（靖江段）、上六圩港、十圩港3条河道水生态调查结果，分析评价美丽河湖水生态现状及存在问题，因地制宜明确美丽河湖建设目标，统筹水资源、水生态、水环境等要素，围绕分类开展分布推进水系连通工程、生态修复工程、本质治污工程、生态产品工程“四大工程”建设，提出针对性对策建议，制定美丽河湖建设实施方案（2026-2030年）。</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结合夏仕港大桥国考断面水生态专项调查结果，通过长短结合的生态修复策略，聚焦底栖动物生存核心需求，提出水生态修复及底栖动物恢复建议方案，为科学实施水生态修复工程，保障夏仕港大桥国考断面优良水体考核稳定达标提供支撑。</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1.3美丽河湖建设成效评估及创建申报</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根据《江苏省美丽河湖评价技术指南（试行）》《江苏省美丽河湖保护与建设管理办法（试行）》相关文件要求，按上级部门对省市级美丽河湖创建时序要求，对长江（靖江段）、上六圩港、十圩港3条河道，逐条汇编形成自评报告等等上级部门要求材料，支撑开展美丽河湖创建申报全过程上报、评选工作。</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1.4本项目工作范围为：长江（靖江段）、夏仕港、十圩港、上六圩港。</w:t>
      </w:r>
      <w:r/>
    </w:p>
    <w:tbl>
      <w:tblPr>
        <w:tblStyle w:val="896"/>
        <w:tblW w:w="48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78"/>
        <w:gridCol w:w="4745"/>
      </w:tblGrid>
      <w:tr>
        <w:trPr>
          <w:jc w:val="center"/>
          <w:trHeight w:val="334"/>
          <w:tblHeader/>
        </w:trPr>
        <w:tc>
          <w:tcPr>
            <w:tcBorders>
              <w:top w:val="single" w:color="000000" w:sz="4" w:space="0"/>
              <w:left w:val="single" w:color="000000" w:sz="4" w:space="0"/>
              <w:bottom w:val="single" w:color="000000" w:sz="4" w:space="0"/>
              <w:right w:val="single" w:color="000000" w:sz="4" w:space="0"/>
            </w:tcBorders>
            <w:tcW w:w="2341" w:type="pct"/>
            <w:vAlign w:val="center"/>
            <w:textDirection w:val="lrTb"/>
            <w:noWrap/>
          </w:tcPr>
          <w:p>
            <w:pPr>
              <w:jc w:val="center"/>
              <w:rPr>
                <w:rFonts w:ascii="仿宋" w:hAnsi="仿宋" w:eastAsia="仿宋"/>
                <w:b/>
                <w:color w:val="auto"/>
                <w:sz w:val="24"/>
                <w:szCs w:val="19"/>
                <w:highlight w:val="none"/>
                <w:lang w:val="zh-CN"/>
              </w:rPr>
            </w:pPr>
            <w:r>
              <w:rPr>
                <w:rFonts w:hint="eastAsia" w:ascii="仿宋" w:hAnsi="仿宋" w:eastAsia="仿宋"/>
                <w:b/>
                <w:color w:val="auto"/>
                <w:sz w:val="24"/>
                <w:szCs w:val="19"/>
                <w:highlight w:val="none"/>
                <w:lang w:val="zh-CN"/>
              </w:rPr>
              <w:t xml:space="preserve">河流名称</w:t>
            </w:r>
            <w:r/>
          </w:p>
        </w:tc>
        <w:tc>
          <w:tcPr>
            <w:tcBorders>
              <w:top w:val="single" w:color="000000" w:sz="4" w:space="0"/>
              <w:left w:val="single" w:color="000000" w:sz="4" w:space="0"/>
              <w:bottom w:val="single" w:color="000000" w:sz="4" w:space="0"/>
              <w:right w:val="single" w:color="000000" w:sz="4" w:space="0"/>
            </w:tcBorders>
            <w:tcW w:w="2659" w:type="pct"/>
            <w:vAlign w:val="center"/>
            <w:textDirection w:val="lrTb"/>
            <w:noWrap/>
          </w:tcPr>
          <w:p>
            <w:pPr>
              <w:jc w:val="center"/>
              <w:rPr>
                <w:rFonts w:ascii="仿宋" w:hAnsi="仿宋" w:eastAsia="仿宋"/>
                <w:b/>
                <w:color w:val="auto"/>
                <w:sz w:val="24"/>
                <w:szCs w:val="19"/>
                <w:highlight w:val="none"/>
                <w:lang w:val="zh-CN"/>
              </w:rPr>
            </w:pPr>
            <w:r>
              <w:rPr>
                <w:rFonts w:hint="eastAsia" w:ascii="仿宋" w:hAnsi="仿宋" w:eastAsia="仿宋"/>
                <w:b/>
                <w:color w:val="auto"/>
                <w:sz w:val="24"/>
                <w:szCs w:val="19"/>
                <w:highlight w:val="none"/>
                <w:lang w:val="zh-CN"/>
              </w:rPr>
              <w:t xml:space="preserve">考核断面</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2341" w:type="pct"/>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长江</w:t>
            </w:r>
            <w:r/>
          </w:p>
        </w:tc>
        <w:tc>
          <w:tcPr>
            <w:tcBorders>
              <w:top w:val="single" w:color="000000" w:sz="4" w:space="0"/>
              <w:left w:val="single" w:color="000000" w:sz="4" w:space="0"/>
              <w:bottom w:val="single" w:color="000000" w:sz="4" w:space="0"/>
              <w:right w:val="single" w:color="000000" w:sz="4" w:space="0"/>
            </w:tcBorders>
            <w:tcW w:w="2659" w:type="pct"/>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蟛蜞港、下青龙港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2341" w:type="pct"/>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夏仕港</w:t>
            </w:r>
            <w:r/>
          </w:p>
        </w:tc>
        <w:tc>
          <w:tcPr>
            <w:tcBorders>
              <w:top w:val="single" w:color="000000" w:sz="4" w:space="0"/>
              <w:left w:val="single" w:color="000000" w:sz="4" w:space="0"/>
              <w:bottom w:val="single" w:color="000000" w:sz="4" w:space="0"/>
              <w:right w:val="single" w:color="000000" w:sz="4" w:space="0"/>
            </w:tcBorders>
            <w:tcW w:w="2659" w:type="pct"/>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夏仕港大桥</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2341" w:type="pct"/>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十圩港</w:t>
            </w:r>
            <w:r/>
          </w:p>
        </w:tc>
        <w:tc>
          <w:tcPr>
            <w:tcBorders>
              <w:top w:val="single" w:color="000000" w:sz="4" w:space="0"/>
              <w:left w:val="single" w:color="000000" w:sz="4" w:space="0"/>
              <w:bottom w:val="single" w:color="000000" w:sz="4" w:space="0"/>
              <w:right w:val="single" w:color="000000" w:sz="4" w:space="0"/>
            </w:tcBorders>
            <w:tcW w:w="2659" w:type="pct"/>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新十圩港大桥</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2341" w:type="pct"/>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上六圩港</w:t>
            </w:r>
            <w:r/>
          </w:p>
        </w:tc>
        <w:tc>
          <w:tcPr>
            <w:tcBorders>
              <w:top w:val="single" w:color="000000" w:sz="4" w:space="0"/>
              <w:left w:val="single" w:color="000000" w:sz="4" w:space="0"/>
              <w:bottom w:val="single" w:color="000000" w:sz="4" w:space="0"/>
              <w:right w:val="single" w:color="000000" w:sz="4" w:space="0"/>
            </w:tcBorders>
            <w:tcW w:w="2659" w:type="pct"/>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上六圩港桥</w:t>
            </w:r>
            <w:r/>
          </w:p>
        </w:tc>
      </w:tr>
    </w:tbl>
    <w:p>
      <w:pPr>
        <w:numPr>
          <w:ilvl w:val="0"/>
          <w:numId w:val="7"/>
        </w:numPr>
        <w:spacing w:line="300" w:lineRule="auto"/>
        <w:rPr>
          <w:rFonts w:ascii="仿宋" w:hAnsi="仿宋" w:eastAsia="仿宋" w:cs="宋体"/>
          <w:b/>
          <w:color w:val="auto"/>
          <w:sz w:val="24"/>
          <w:szCs w:val="20"/>
          <w:highlight w:val="none"/>
        </w:rPr>
      </w:pPr>
      <w:r>
        <w:rPr>
          <w:rFonts w:hint="eastAsia" w:ascii="仿宋" w:hAnsi="仿宋" w:eastAsia="仿宋" w:cs="宋体"/>
          <w:b/>
          <w:color w:val="auto"/>
          <w:sz w:val="24"/>
          <w:highlight w:val="none"/>
        </w:rPr>
        <w:t xml:space="preserve">合同期限</w:t>
      </w:r>
      <w:r/>
    </w:p>
    <w:p>
      <w:pPr>
        <w:ind w:firstLine="440"/>
        <w:spacing w:line="300" w:lineRule="auto"/>
        <w:rPr>
          <w:rFonts w:ascii="仿宋" w:hAnsi="仿宋" w:eastAsia="仿宋" w:cs="宋体"/>
          <w:color w:val="auto"/>
          <w:sz w:val="24"/>
          <w:highlight w:val="none"/>
        </w:rPr>
      </w:pPr>
      <w:r>
        <w:rPr>
          <w:rFonts w:hint="eastAsia" w:ascii="仿宋" w:hAnsi="仿宋" w:eastAsia="仿宋"/>
          <w:color w:val="auto"/>
          <w:sz w:val="24"/>
          <w:szCs w:val="19"/>
          <w:highlight w:val="none"/>
          <w:lang w:val="zh-CN"/>
        </w:rPr>
        <w:t xml:space="preserve">结合本项目实际需求，工作期限为2026~2028年。</w:t>
      </w:r>
      <w:r/>
    </w:p>
    <w:p>
      <w:pPr>
        <w:numPr>
          <w:ilvl w:val="0"/>
          <w:numId w:val="7"/>
        </w:numPr>
        <w:spacing w:line="300" w:lineRule="auto"/>
        <w:rPr>
          <w:rFonts w:ascii="仿宋" w:hAnsi="仿宋" w:eastAsia="仿宋" w:cs="宋体"/>
          <w:b/>
          <w:color w:val="auto"/>
          <w:sz w:val="24"/>
          <w:highlight w:val="none"/>
        </w:rPr>
      </w:pPr>
      <w:r/>
      <w:bookmarkStart w:id="70" w:name="_Toc211854449"/>
      <w:r/>
      <w:bookmarkStart w:id="71" w:name="_Toc282696226"/>
      <w:r/>
      <w:bookmarkStart w:id="72" w:name="_Toc241833903"/>
      <w:r/>
      <w:bookmarkStart w:id="73" w:name="_Toc237145406"/>
      <w:r/>
      <w:bookmarkStart w:id="74" w:name="_Toc232492928"/>
      <w:r/>
      <w:bookmarkStart w:id="75" w:name="_Toc185395249"/>
      <w:r/>
      <w:bookmarkStart w:id="76" w:name="_Toc247334841"/>
      <w:r/>
      <w:bookmarkStart w:id="77" w:name="_Toc212019594"/>
      <w:r/>
      <w:bookmarkStart w:id="78" w:name="_Toc225654644"/>
      <w:r/>
      <w:bookmarkStart w:id="79" w:name="_Toc283019214"/>
      <w:r/>
      <w:bookmarkStart w:id="80" w:name="_Toc239233914"/>
      <w:r/>
      <w:bookmarkStart w:id="81" w:name="_Toc225244852"/>
      <w:r/>
      <w:bookmarkStart w:id="82" w:name="_Toc238984975"/>
      <w:r/>
      <w:bookmarkStart w:id="83" w:name="_Toc251768862"/>
      <w:r/>
      <w:bookmarkStart w:id="84" w:name="_Toc286993786"/>
      <w:r/>
      <w:bookmarkStart w:id="85" w:name="_Toc211911348"/>
      <w:r/>
      <w:bookmarkStart w:id="86" w:name="_Toc225670751"/>
      <w:r/>
      <w:bookmarkStart w:id="87" w:name="_Toc239568418"/>
      <w:r>
        <w:rPr>
          <w:rFonts w:hint="eastAsia" w:ascii="仿宋" w:hAnsi="仿宋" w:eastAsia="仿宋" w:cs="宋体"/>
          <w:b/>
          <w:color w:val="auto"/>
          <w:sz w:val="24"/>
          <w:highlight w:val="none"/>
        </w:rPr>
        <w:t xml:space="preserve">主要成果</w:t>
      </w:r>
      <w:r/>
    </w:p>
    <w:tbl>
      <w:tblPr>
        <w:tblStyle w:val="89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05"/>
        <w:gridCol w:w="7459"/>
      </w:tblGrid>
      <w:tr>
        <w:trPr>
          <w:jc w:val="center"/>
          <w:trHeight w:val="551"/>
          <w:tblHead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年度</w:t>
            </w:r>
            <w:r/>
          </w:p>
        </w:tc>
        <w:tc>
          <w:tcPr>
            <w:tcBorders>
              <w:top w:val="single" w:color="000000" w:sz="4" w:space="0"/>
              <w:left w:val="single" w:color="000000" w:sz="4" w:space="0"/>
              <w:bottom w:val="single" w:color="000000" w:sz="4" w:space="0"/>
              <w:right w:val="single" w:color="000000" w:sz="4" w:space="0"/>
            </w:tcBorders>
            <w:tcW w:w="7459" w:type="dxa"/>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成果清单</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2026年</w:t>
            </w:r>
            <w:r/>
          </w:p>
        </w:tc>
        <w:tc>
          <w:tcPr>
            <w:tcBorders>
              <w:top w:val="single" w:color="000000" w:sz="4" w:space="0"/>
              <w:left w:val="single" w:color="000000" w:sz="4" w:space="0"/>
              <w:bottom w:val="single" w:color="000000" w:sz="4" w:space="0"/>
              <w:right w:val="single" w:color="000000" w:sz="4" w:space="0"/>
            </w:tcBorders>
            <w:tcW w:w="7459" w:type="dxa"/>
            <w:vAlign w:val="center"/>
            <w:textDirection w:val="lrTb"/>
            <w:noWrap/>
          </w:tcPr>
          <w:p>
            <w:pP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长江（靖江段）、夏仕港、上六圩港、十圩港4条河道水生态调查评估报告；</w:t>
            </w:r>
            <w:r/>
          </w:p>
          <w:p>
            <w:pP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美丽河湖保护与建设实施方案（2026-2030年）；</w:t>
            </w:r>
            <w:r/>
          </w:p>
          <w:p>
            <w:pP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提供2026年度美丽河湖创建申报服务：形成1套自评报告等上级部门要求的美丽河湖创建申报材料。</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2027年</w:t>
            </w:r>
            <w:r/>
          </w:p>
        </w:tc>
        <w:tc>
          <w:tcPr>
            <w:tcBorders>
              <w:top w:val="single" w:color="000000" w:sz="4" w:space="0"/>
              <w:left w:val="single" w:color="000000" w:sz="4" w:space="0"/>
              <w:bottom w:val="single" w:color="000000" w:sz="4" w:space="0"/>
              <w:right w:val="single" w:color="000000" w:sz="4" w:space="0"/>
            </w:tcBorders>
            <w:tcW w:w="7459" w:type="dxa"/>
            <w:vAlign w:val="center"/>
            <w:textDirection w:val="lrTb"/>
            <w:noWrap/>
          </w:tcPr>
          <w:p>
            <w:pP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夏仕港大桥国考断面水生态修复及底栖动物恢复建议方案；</w:t>
            </w:r>
            <w:r/>
          </w:p>
          <w:p>
            <w:pP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根据需求对拟申报及上一年已创建成功的省级美丽河湖开展水生态调查，形成调查评估报告；</w:t>
            </w:r>
            <w:r/>
          </w:p>
          <w:p>
            <w:pP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提供2027年度美丽河湖创建申报服务：形成1套自评报告等上级部门要求的美丽河湖创建申报材料。</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3</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2028年</w:t>
            </w:r>
            <w:r/>
          </w:p>
        </w:tc>
        <w:tc>
          <w:tcPr>
            <w:tcBorders>
              <w:top w:val="single" w:color="000000" w:sz="4" w:space="0"/>
              <w:left w:val="single" w:color="000000" w:sz="4" w:space="0"/>
              <w:bottom w:val="single" w:color="000000" w:sz="4" w:space="0"/>
              <w:right w:val="single" w:color="000000" w:sz="4" w:space="0"/>
            </w:tcBorders>
            <w:tcW w:w="7459" w:type="dxa"/>
            <w:vAlign w:val="center"/>
            <w:textDirection w:val="lrTb"/>
            <w:noWrap/>
          </w:tcPr>
          <w:p>
            <w:pP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根据需求对拟申报及上一年已创建成功的省级美丽河湖开展水生态调查，形成调查评估报告；</w:t>
            </w:r>
            <w:r/>
          </w:p>
          <w:p>
            <w:pP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提供2028年度美丽河湖创建申报服务：形成1套自评报告等上级部门要求的美丽河湖创建申报材料。</w:t>
            </w:r>
            <w:r/>
          </w:p>
        </w:tc>
      </w:tr>
    </w:tbl>
    <w:p>
      <w:pPr>
        <w:numPr>
          <w:ilvl w:val="0"/>
          <w:numId w:val="7"/>
        </w:numPr>
        <w:spacing w:line="300" w:lineRule="auto"/>
        <w:rPr>
          <w:rFonts w:ascii="仿宋" w:hAnsi="仿宋" w:eastAsia="仿宋" w:cs="宋体"/>
          <w:b/>
          <w:color w:val="auto"/>
          <w:sz w:val="24"/>
          <w:szCs w:val="20"/>
          <w:highlight w:val="none"/>
        </w:rPr>
      </w:pPr>
      <w:r>
        <w:rPr>
          <w:rFonts w:hint="eastAsia" w:ascii="仿宋" w:hAnsi="仿宋" w:eastAsia="仿宋" w:cs="宋体"/>
          <w:b/>
          <w:color w:val="auto"/>
          <w:sz w:val="24"/>
          <w:highlight w:val="none"/>
        </w:rPr>
        <w:t xml:space="preserve">服务费用及支付方式</w:t>
      </w:r>
      <w:r/>
    </w:p>
    <w:p>
      <w:pPr>
        <w:numPr>
          <w:ilvl w:val="0"/>
          <w:numId w:val="8"/>
        </w:numPr>
        <w:ind w:left="0" w:firstLine="567"/>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本项目服务费用由以下组成：</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w:t>
      </w:r>
      <w:r/>
    </w:p>
    <w:p>
      <w:pPr>
        <w:numPr>
          <w:ilvl w:val="0"/>
          <w:numId w:val="8"/>
        </w:numPr>
        <w:ind w:left="0" w:firstLine="567"/>
        <w:spacing w:line="300" w:lineRule="auto"/>
        <w:tabs>
          <w:tab w:val="left" w:pos="780" w:leader="none"/>
        </w:tabs>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服务费支付方式： </w:t>
      </w:r>
      <w:r/>
    </w:p>
    <w:p>
      <w:pPr>
        <w:pStyle w:val="962"/>
        <w:ind w:left="42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（1）合同签订后，30日内支付合同金额的30%；</w:t>
      </w:r>
      <w:r/>
    </w:p>
    <w:p>
      <w:pPr>
        <w:pStyle w:val="962"/>
        <w:ind w:left="42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（2）完成2026年度相关工作成果后，支付到合同金额的65%；</w:t>
      </w:r>
      <w:r/>
    </w:p>
    <w:p>
      <w:pPr>
        <w:pStyle w:val="962"/>
        <w:ind w:left="42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（3）完成2027年度相关工作成果后，支付到合同金额的85%；</w:t>
      </w:r>
      <w:r/>
    </w:p>
    <w:p>
      <w:pPr>
        <w:pStyle w:val="962"/>
        <w:ind w:left="420"/>
        <w:spacing w:line="300" w:lineRule="auto"/>
        <w:tabs>
          <w:tab w:val="left" w:pos="780" w:leader="none"/>
        </w:tabs>
        <w:rPr>
          <w:rFonts w:ascii="仿宋" w:hAnsi="仿宋" w:eastAsia="仿宋" w:cs="宋体"/>
          <w:b/>
          <w:color w:val="auto"/>
          <w:sz w:val="24"/>
          <w:szCs w:val="20"/>
          <w:highlight w:val="none"/>
        </w:rPr>
      </w:pPr>
      <w:r>
        <w:rPr>
          <w:rFonts w:hint="eastAsia" w:ascii="仿宋" w:hAnsi="仿宋" w:eastAsia="仿宋"/>
          <w:color w:val="auto"/>
          <w:sz w:val="24"/>
          <w:szCs w:val="19"/>
          <w:highlight w:val="none"/>
          <w:lang w:val="zh-CN"/>
        </w:rPr>
        <w:t xml:space="preserve">（4）完成2028年度相关工作成果后，支付到合同金额的100%。</w:t>
      </w:r>
      <w:r/>
    </w:p>
    <w:p>
      <w:pPr>
        <w:numPr>
          <w:ilvl w:val="0"/>
          <w:numId w:val="7"/>
        </w:numPr>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知识产权</w:t>
      </w:r>
      <w:r/>
    </w:p>
    <w:p>
      <w:pPr>
        <w:ind w:firstLine="440"/>
        <w:spacing w:line="300" w:lineRule="auto"/>
        <w:tabs>
          <w:tab w:val="left" w:pos="144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乙方应保证所提供的服务或其任何一部分均不会侵犯任何第三方的专利权、商标权或著作权。</w:t>
      </w:r>
      <w:r/>
    </w:p>
    <w:p>
      <w:pPr>
        <w:numPr>
          <w:ilvl w:val="0"/>
          <w:numId w:val="7"/>
        </w:numPr>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无产权瑕疵条款</w:t>
      </w:r>
      <w:r/>
    </w:p>
    <w:p>
      <w:pPr>
        <w:ind w:firstLine="440"/>
        <w:spacing w:line="300" w:lineRule="auto"/>
        <w:tabs>
          <w:tab w:val="left" w:pos="144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乙方保证所提供的服务的所有权完全属于乙方且无任何抵押、查封等产权瑕疵。如有产权瑕疵的，视为乙方违约。乙方应负担由此而产生的一切损失。</w:t>
      </w:r>
      <w:r/>
    </w:p>
    <w:p>
      <w:pPr>
        <w:numPr>
          <w:ilvl w:val="0"/>
          <w:numId w:val="9"/>
        </w:numPr>
        <w:spacing w:line="300" w:lineRule="auto"/>
        <w:rPr>
          <w:rFonts w:ascii="仿宋" w:hAnsi="仿宋" w:eastAsia="仿宋" w:cs="宋体"/>
          <w:b/>
          <w:color w:val="auto"/>
          <w:sz w:val="24"/>
          <w:highlight w:val="none"/>
        </w:rPr>
      </w:pPr>
      <w:r/>
      <w:bookmarkStart w:id="88" w:name="OLE_LINK91"/>
      <w:r/>
      <w:bookmarkStart w:id="89" w:name="OLE_LINK90"/>
      <w:r/>
      <w:bookmarkStart w:id="90" w:name="OLE_LINK89"/>
      <w:r>
        <w:rPr>
          <w:rFonts w:hint="eastAsia" w:ascii="仿宋" w:hAnsi="仿宋" w:eastAsia="仿宋" w:cs="宋体"/>
          <w:b/>
          <w:color w:val="auto"/>
          <w:sz w:val="24"/>
          <w:highlight w:val="none"/>
        </w:rPr>
        <w:t xml:space="preserve">履约保证金（若有）</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1、乙方交纳人民币</w:t>
      </w:r>
      <w:r>
        <w:rPr>
          <w:rFonts w:hint="eastAsia" w:ascii="仿宋" w:hAnsi="仿宋" w:eastAsia="仿宋" w:cs="宋体"/>
          <w:color w:val="auto"/>
          <w:sz w:val="24"/>
          <w:highlight w:val="none"/>
        </w:rPr>
        <w:t xml:space="preserve">XX</w:t>
      </w:r>
      <w:r>
        <w:rPr>
          <w:rFonts w:hint="eastAsia" w:ascii="仿宋" w:hAnsi="仿宋" w:eastAsia="仿宋" w:cs="宋体"/>
          <w:bCs/>
          <w:color w:val="auto"/>
          <w:sz w:val="24"/>
          <w:highlight w:val="none"/>
        </w:rPr>
        <w:t xml:space="preserve">元作为本合同的履约保证金。</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2、履约保证金作为违约金的一部分及用于补偿甲方因乙方不能履行合同义务而蒙受的损失。</w:t>
      </w:r>
      <w:bookmarkEnd w:id="88"/>
      <w:r/>
      <w:bookmarkEnd w:id="89"/>
      <w:r/>
      <w:bookmarkEnd w:id="90"/>
      <w:r/>
      <w:r/>
    </w:p>
    <w:p>
      <w:pPr>
        <w:numPr>
          <w:ilvl w:val="0"/>
          <w:numId w:val="7"/>
        </w:numPr>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甲方的权利和义务</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2、甲方有权依据双方签订的考评办法对乙方提供的服务进行考评。当考评结果未达到标准时，有权依据考评办法约定的数额扣除履约保证金。</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3、负责检查监督乙方管理工作的实施及制度的执行情况。</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4、根据本合同规定，按时向乙方支付应付服务费用。</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5、国家法律、法规所规定由甲方承担的其它责任。</w:t>
      </w:r>
      <w:r/>
    </w:p>
    <w:p>
      <w:pPr>
        <w:numPr>
          <w:ilvl w:val="0"/>
          <w:numId w:val="7"/>
        </w:numPr>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乙方的权利和义务</w:t>
      </w:r>
      <w:r/>
    </w:p>
    <w:p>
      <w:pPr>
        <w:ind w:firstLine="480"/>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1、为保证摸排工作的严肃性和保密性，承诺在承担项目期间，做好保密工作。相关人员在接受任务后，不得向他人透漏相关消息。</w:t>
      </w:r>
      <w:r/>
    </w:p>
    <w:p>
      <w:pPr>
        <w:ind w:firstLine="480"/>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2、验收标准：根据采购文件、中标单位的响应文件、双方签订的合同文件及其附件、国家的相关规定，由甲方及相关部门进行验收通过。</w:t>
      </w:r>
      <w:r/>
    </w:p>
    <w:p>
      <w:pPr>
        <w:ind w:firstLine="480"/>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3、属于保密范围内的文件资料，未经甲方同意，均应保密，不得向外扩散。</w:t>
      </w:r>
      <w:r/>
    </w:p>
    <w:p>
      <w:pPr>
        <w:ind w:firstLine="480"/>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4、项目成果最终所有权属甲方，在项目完成时乙方必须全部移交。</w:t>
      </w:r>
      <w:r/>
    </w:p>
    <w:p>
      <w:pPr>
        <w:ind w:firstLine="480"/>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5、乙方须维护项目服务成果，不得转让给第三方重复使用。</w:t>
      </w:r>
      <w:r/>
    </w:p>
    <w:p>
      <w:pPr>
        <w:ind w:firstLine="480"/>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6、以上保密规定如有违反，甲方有权追究乙方相关法律责任。</w:t>
      </w:r>
      <w:r/>
    </w:p>
    <w:p>
      <w:pPr>
        <w:numPr>
          <w:ilvl w:val="0"/>
          <w:numId w:val="7"/>
        </w:numPr>
        <w:spacing w:line="300" w:lineRule="auto"/>
        <w:rPr>
          <w:rFonts w:ascii="仿宋" w:hAnsi="仿宋" w:eastAsia="仿宋" w:cs="宋体"/>
          <w:b/>
          <w:color w:val="auto"/>
          <w:sz w:val="24"/>
          <w:szCs w:val="20"/>
          <w:highlight w:val="none"/>
        </w:rPr>
      </w:pPr>
      <w:r>
        <w:rPr>
          <w:rFonts w:hint="eastAsia" w:ascii="仿宋" w:hAnsi="仿宋" w:eastAsia="仿宋" w:cs="宋体"/>
          <w:b/>
          <w:color w:val="auto"/>
          <w:sz w:val="24"/>
          <w:highlight w:val="none"/>
        </w:rPr>
        <w:t xml:space="preserve">违约责任</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1、甲乙双方必须遵守本合同并执行合同中的各项规定，保证本合同的正常履行。</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numPr>
          <w:ilvl w:val="0"/>
          <w:numId w:val="7"/>
        </w:numPr>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不可抗力事件处理</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1、在合同有效期内，任何一方因不可抗力事件导致不能履行合同，则合同履行期可延长，其延长期与不可抗力影响期相同。</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2、不可抗力事件发生后，应立即通知对方，并寄送有关权威机构出具的证明。</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3、不可抗力事件延续XX天以上，双方应通过友好协商，确定是否继续履行合同。</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
    </w:p>
    <w:p>
      <w:pPr>
        <w:numPr>
          <w:ilvl w:val="0"/>
          <w:numId w:val="7"/>
        </w:numPr>
        <w:spacing w:line="300" w:lineRule="auto"/>
        <w:rPr>
          <w:rFonts w:ascii="仿宋" w:hAnsi="仿宋" w:eastAsia="仿宋" w:cs="宋体"/>
          <w:b/>
          <w:color w:val="auto"/>
          <w:sz w:val="24"/>
          <w:highlight w:val="none"/>
        </w:rPr>
      </w:pPr>
      <w:r/>
      <w:bookmarkStart w:id="91" w:name="_Toc212019599"/>
      <w:r/>
      <w:bookmarkStart w:id="92" w:name="_Toc247334846"/>
      <w:r/>
      <w:bookmarkStart w:id="93" w:name="_Toc225244857"/>
      <w:r/>
      <w:bookmarkStart w:id="94" w:name="_Toc251768867"/>
      <w:r/>
      <w:bookmarkStart w:id="95" w:name="_Toc286993792"/>
      <w:r/>
      <w:bookmarkStart w:id="96" w:name="_Toc225670756"/>
      <w:r/>
      <w:bookmarkStart w:id="97" w:name="_Toc211854454"/>
      <w:r/>
      <w:bookmarkStart w:id="98" w:name="_Toc211911353"/>
      <w:r/>
      <w:bookmarkStart w:id="99" w:name="_Toc239568423"/>
      <w:r/>
      <w:bookmarkStart w:id="100" w:name="_Toc241833908"/>
      <w:r/>
      <w:bookmarkStart w:id="101" w:name="_Toc232492933"/>
      <w:r/>
      <w:bookmarkStart w:id="102" w:name="_Toc237145411"/>
      <w:r/>
      <w:bookmarkStart w:id="103" w:name="_Toc239233919"/>
      <w:r/>
      <w:bookmarkStart w:id="104" w:name="_Toc185395254"/>
      <w:r/>
      <w:bookmarkStart w:id="105" w:name="_Toc225654649"/>
      <w:r/>
      <w:bookmarkStart w:id="106" w:name="_Toc238984980"/>
      <w:r>
        <w:rPr>
          <w:rFonts w:hint="eastAsia" w:ascii="仿宋" w:hAnsi="仿宋" w:eastAsia="仿宋" w:cs="宋体"/>
          <w:b/>
          <w:color w:val="auto"/>
          <w:sz w:val="24"/>
          <w:highlight w:val="none"/>
        </w:rPr>
        <w:t xml:space="preserve">解决合同纠纷的方式</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1、在执行本合同中发生的或与本合同有关的争端，双方应通过友好协商解决，经协商在XX天内不能达成协议时，应提交靖江仲裁委员会仲裁。</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2、仲裁裁决应为最终决定，并对双方具有约束力。</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3、除另有裁决外，仲裁费应由败诉方负担。 </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4、在仲裁期间，除正在进行仲裁部分外，合同其他部分继续执行。  </w:t>
      </w:r>
      <w:r/>
    </w:p>
    <w:p>
      <w:pPr>
        <w:numPr>
          <w:ilvl w:val="0"/>
          <w:numId w:val="7"/>
        </w:numPr>
        <w:spacing w:line="300" w:lineRule="auto"/>
        <w:rPr>
          <w:rFonts w:ascii="仿宋" w:hAnsi="仿宋" w:eastAsia="仿宋" w:cs="宋体"/>
          <w:b/>
          <w:color w:val="auto"/>
          <w:sz w:val="24"/>
          <w:highlight w:val="none"/>
        </w:rPr>
      </w:pPr>
      <w:r/>
      <w:bookmarkStart w:id="107" w:name="_Toc239233920"/>
      <w:r/>
      <w:bookmarkStart w:id="108" w:name="_Toc225654650"/>
      <w:r/>
      <w:bookmarkStart w:id="109" w:name="_Toc185395255"/>
      <w:r/>
      <w:bookmarkStart w:id="110" w:name="_Toc211854455"/>
      <w:r/>
      <w:bookmarkStart w:id="111" w:name="_Toc282696231"/>
      <w:r/>
      <w:bookmarkStart w:id="112" w:name="_Toc286993793"/>
      <w:r/>
      <w:bookmarkStart w:id="113" w:name="_Toc237145412"/>
      <w:r/>
      <w:bookmarkStart w:id="114" w:name="_Toc251768868"/>
      <w:r/>
      <w:bookmarkStart w:id="115" w:name="_Toc247334847"/>
      <w:r/>
      <w:bookmarkStart w:id="116" w:name="_Toc283019219"/>
      <w:r/>
      <w:bookmarkStart w:id="117" w:name="_Toc238984981"/>
      <w:r/>
      <w:bookmarkStart w:id="118" w:name="_Toc212019600"/>
      <w:r/>
      <w:bookmarkStart w:id="119" w:name="_Toc232492934"/>
      <w:r/>
      <w:bookmarkStart w:id="120" w:name="_Toc211911354"/>
      <w:r/>
      <w:bookmarkStart w:id="121" w:name="_Toc225670757"/>
      <w:r/>
      <w:bookmarkStart w:id="122" w:name="_Toc225244858"/>
      <w:r/>
      <w:bookmarkStart w:id="123" w:name="_Toc239568424"/>
      <w:r/>
      <w:bookmarkStart w:id="124" w:name="_Toc241833909"/>
      <w:r>
        <w:rPr>
          <w:rFonts w:hint="eastAsia" w:ascii="仿宋" w:hAnsi="仿宋" w:eastAsia="仿宋" w:cs="宋体"/>
          <w:b/>
          <w:color w:val="auto"/>
          <w:sz w:val="24"/>
          <w:highlight w:val="none"/>
        </w:rPr>
        <w:t xml:space="preserve">合同</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Pr>
          <w:rFonts w:hint="eastAsia" w:ascii="仿宋" w:hAnsi="仿宋" w:eastAsia="仿宋" w:cs="宋体"/>
          <w:b/>
          <w:color w:val="auto"/>
          <w:sz w:val="24"/>
          <w:highlight w:val="none"/>
        </w:rPr>
        <w:t xml:space="preserve">生效及其他</w:t>
      </w:r>
      <w:r/>
    </w:p>
    <w:p>
      <w:pPr>
        <w:pStyle w:val="1371"/>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1、合同经双方法定代表人或授权委托代理人签字并加盖单位公章后生效。</w:t>
      </w:r>
      <w:r/>
    </w:p>
    <w:p>
      <w:pPr>
        <w:pStyle w:val="1371"/>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2、合同执行中涉及采购资金和采购内容修改或补充的，须经政府采购监管部门审批，并签书面补充协议报政府采购监督管理部门备案，方可作为主合同不可分割的一部分。</w:t>
      </w:r>
      <w:r/>
    </w:p>
    <w:p>
      <w:pPr>
        <w:pStyle w:val="1371"/>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3、本合同一式XX份，自双方签章之日起起效。甲方XX份，乙方XX份，政府采购代理机构XX份，同级财政部门备案XX份，具有同等法律效力。</w:t>
      </w:r>
      <w:r/>
    </w:p>
    <w:p>
      <w:pPr>
        <w:numPr>
          <w:ilvl w:val="0"/>
          <w:numId w:val="7"/>
        </w:numPr>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附件</w:t>
      </w:r>
      <w:r/>
    </w:p>
    <w:p>
      <w:pPr>
        <w:pStyle w:val="1371"/>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1、项目招标文件</w:t>
      </w:r>
      <w:r/>
    </w:p>
    <w:p>
      <w:pPr>
        <w:pStyle w:val="1371"/>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2、项目修改澄清文件</w:t>
      </w:r>
      <w:r/>
    </w:p>
    <w:p>
      <w:pPr>
        <w:pStyle w:val="1371"/>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3、项目投标文件</w:t>
      </w:r>
      <w:r/>
    </w:p>
    <w:p>
      <w:pPr>
        <w:pStyle w:val="1371"/>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4、中标通知书</w:t>
      </w:r>
      <w:r/>
    </w:p>
    <w:p>
      <w:pPr>
        <w:pStyle w:val="1371"/>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5、其他</w:t>
      </w:r>
      <w:r/>
    </w:p>
    <w:p>
      <w:pPr>
        <w:spacing w:line="300" w:lineRule="auto"/>
        <w:rPr>
          <w:rFonts w:ascii="仿宋" w:hAnsi="仿宋" w:eastAsia="仿宋" w:cs="宋体"/>
          <w:color w:val="auto"/>
          <w:sz w:val="24"/>
          <w:highlight w:val="none"/>
        </w:rPr>
      </w:pPr>
      <w:r>
        <w:rPr>
          <w:rFonts w:ascii="仿宋" w:hAnsi="仿宋" w:eastAsia="仿宋" w:cs="宋体"/>
          <w:color w:val="auto"/>
          <w:sz w:val="24"/>
          <w:highlight w:val="none"/>
        </w:rPr>
      </w:r>
      <w:r/>
    </w:p>
    <w:p>
      <w:pPr>
        <w:ind w:firstLine="440"/>
        <w:rPr>
          <w:rFonts w:ascii="仿宋" w:hAnsi="仿宋" w:eastAsia="仿宋" w:cs="宋体"/>
          <w:color w:val="auto"/>
          <w:sz w:val="24"/>
          <w:szCs w:val="20"/>
          <w:highlight w:val="none"/>
        </w:rPr>
      </w:pPr>
      <w:r>
        <w:rPr>
          <w:rFonts w:hint="eastAsia" w:ascii="仿宋" w:hAnsi="仿宋" w:eastAsia="仿宋" w:cs="宋体"/>
          <w:color w:val="auto"/>
          <w:sz w:val="24"/>
          <w:highlight w:val="none"/>
        </w:rPr>
        <w:t xml:space="preserve">甲方：   （盖章）   </w:t>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 xml:space="preserve">       乙方：   （盖章）</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法定代表人（授权代表）：           法定代表人（授权代表）：</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地    址：                         地    址：</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开户银行：                         开户银行：</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账号：                             账号：</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电    话：                         电    话：</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传    真：                         传    真：</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签约日期：XX年XX月XX日 </w:t>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 xml:space="preserve">签约日期：XX年XX月XX日</w:t>
      </w:r>
      <w:r/>
    </w:p>
    <w:p>
      <w:pPr>
        <w:pStyle w:val="1192"/>
        <w:ind w:firstLine="482"/>
        <w:rPr>
          <w:color w:val="auto"/>
          <w:highlight w:val="none"/>
        </w:rPr>
      </w:pPr>
      <w:r>
        <w:rPr>
          <w:rFonts w:hint="eastAsia" w:ascii="仿宋" w:hAnsi="仿宋" w:eastAsia="仿宋" w:cs="宋体"/>
          <w:b/>
          <w:color w:val="auto"/>
          <w:sz w:val="24"/>
          <w:highlight w:val="none"/>
        </w:rPr>
        <w:t xml:space="preserve">注：本合同为简易版本，使用过程中，请结合具体项目，充实细化。</w:t>
      </w:r>
      <w:r/>
    </w:p>
    <w:p>
      <w:pPr>
        <w:pStyle w:val="1192"/>
        <w:ind w:firstLine="482"/>
        <w:rPr>
          <w:color w:val="auto"/>
          <w:highlight w:val="none"/>
        </w:rPr>
      </w:pPr>
      <w:r>
        <w:rPr>
          <w:color w:val="auto"/>
          <w:highlight w:val="none"/>
        </w:rPr>
      </w:r>
      <w:r/>
    </w:p>
    <w:p>
      <w:pPr>
        <w:pStyle w:val="1192"/>
        <w:ind w:firstLine="482"/>
        <w:rPr>
          <w:color w:val="auto"/>
          <w:highlight w:val="none"/>
        </w:rPr>
      </w:pPr>
      <w:r>
        <w:rPr>
          <w:color w:val="auto"/>
          <w:highlight w:val="none"/>
        </w:rPr>
      </w:r>
      <w:r/>
    </w:p>
    <w:p>
      <w:pPr>
        <w:pStyle w:val="1099"/>
        <w:jc w:val="center"/>
        <w:spacing w:before="0" w:after="0" w:line="300" w:lineRule="auto"/>
        <w:rPr>
          <w:rFonts w:ascii="仿宋" w:hAnsi="仿宋" w:eastAsia="仿宋" w:cs="仿宋"/>
          <w:color w:val="auto"/>
          <w:sz w:val="28"/>
          <w:szCs w:val="28"/>
          <w:highlight w:val="none"/>
        </w:rPr>
      </w:pPr>
      <w:r/>
      <w:bookmarkStart w:id="125" w:name="_Toc329009670"/>
      <w:r>
        <w:rPr>
          <w:rFonts w:hint="eastAsia" w:ascii="仿宋" w:hAnsi="仿宋" w:eastAsia="仿宋" w:cs="仿宋"/>
          <w:color w:val="auto"/>
          <w:sz w:val="28"/>
          <w:szCs w:val="28"/>
          <w:highlight w:val="none"/>
        </w:rPr>
        <w:t xml:space="preserve">第八章  纪律和监督</w:t>
      </w:r>
      <w:bookmarkEnd w:id="125"/>
      <w:r/>
      <w:r/>
    </w:p>
    <w:p>
      <w:pPr>
        <w:spacing w:line="300" w:lineRule="auto"/>
        <w:rPr>
          <w:rFonts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rPr>
        <w:t xml:space="preserve">41</w:t>
      </w:r>
      <w:r>
        <w:rPr>
          <w:rFonts w:hint="eastAsia" w:ascii="仿宋" w:hAnsi="仿宋" w:eastAsia="仿宋" w:cs="仿宋"/>
          <w:b/>
          <w:color w:val="auto"/>
          <w:sz w:val="28"/>
          <w:szCs w:val="28"/>
          <w:highlight w:val="none"/>
          <w:lang w:val="zh-CN"/>
        </w:rPr>
        <w:t xml:space="preserve">.纪律和监督</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41</w:t>
      </w:r>
      <w:r>
        <w:rPr>
          <w:rFonts w:hint="eastAsia" w:ascii="仿宋" w:hAnsi="仿宋" w:eastAsia="仿宋" w:cs="仿宋"/>
          <w:color w:val="auto"/>
          <w:sz w:val="24"/>
          <w:highlight w:val="none"/>
          <w:lang w:val="zh-CN"/>
        </w:rPr>
        <w:t xml:space="preserve">.1 对采购人的纪律要求</w:t>
      </w:r>
      <w:r/>
    </w:p>
    <w:p>
      <w:pPr>
        <w:ind w:firstLine="36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采购人不得泄漏磋商响应活动中应当保密的情况和资料，不得与供应商串通损害国家利益、社会公共利益或者他人合法权益。</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41</w:t>
      </w:r>
      <w:r>
        <w:rPr>
          <w:rFonts w:hint="eastAsia" w:ascii="仿宋" w:hAnsi="仿宋" w:eastAsia="仿宋" w:cs="仿宋"/>
          <w:color w:val="auto"/>
          <w:sz w:val="24"/>
          <w:highlight w:val="none"/>
          <w:lang w:val="zh-CN"/>
        </w:rPr>
        <w:t xml:space="preserve">.2 对供应商的纪律要求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供应商不得互相串通或者与采购人串通响应，不得向采购人或者磋商小组成员行贿谋取中标；不得以他人名义响应或者以其他方式弄虚作假骗取中标；供应商不得以任何方式干扰、影响评标工作。</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41</w:t>
      </w:r>
      <w:r>
        <w:rPr>
          <w:rFonts w:hint="eastAsia" w:ascii="仿宋" w:hAnsi="仿宋" w:eastAsia="仿宋" w:cs="仿宋"/>
          <w:color w:val="auto"/>
          <w:sz w:val="24"/>
          <w:highlight w:val="none"/>
          <w:lang w:val="zh-CN"/>
        </w:rPr>
        <w:t xml:space="preserve">.3 对磋商小组成员的纪律要求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磋商小组成员不得收受他人的财物或者其他好处，不得向他人透漏对响应文件的评审和比较、中标候选人的推荐情况以及评标有关的其他情况。在评标活动中，磋商小组成员应当客观、公正地履行职责，遵守职业道德，不得擅离职守，影响评标程序正常进行，不得使用超出本磋商文件有关规定的评审因素和评标标准进行评标。</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41</w:t>
      </w:r>
      <w:r>
        <w:rPr>
          <w:rFonts w:hint="eastAsia" w:ascii="仿宋" w:hAnsi="仿宋" w:eastAsia="仿宋" w:cs="仿宋"/>
          <w:color w:val="auto"/>
          <w:sz w:val="24"/>
          <w:highlight w:val="none"/>
          <w:lang w:val="zh-CN"/>
        </w:rPr>
        <w:t xml:space="preserve">.4 对与评标活动有关的工作人员的纪律要求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与评标活动有关的工作人员不得收受他人的财物或者其他好处，不得向他人透漏对响应文件的评审和比较、中标候选人的推荐情况以及评标有关的其他情况。在评标活动中，与评标活动有关的工作人员不得擅离职守，影响评标程序正常进行。</w:t>
      </w:r>
      <w:bookmarkStart w:id="126" w:name="_Toc329009671"/>
      <w:r/>
      <w:r/>
    </w:p>
    <w:p>
      <w:pPr>
        <w:ind w:firstLine="48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r>
      <w:r/>
    </w:p>
    <w:p>
      <w:pPr>
        <w:jc w:val="center"/>
        <w:spacing w:line="30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第九章  质疑与投诉</w:t>
      </w:r>
      <w:bookmarkEnd w:id="126"/>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42</w:t>
      </w:r>
      <w:r>
        <w:rPr>
          <w:rFonts w:hint="eastAsia" w:ascii="仿宋" w:hAnsi="仿宋" w:eastAsia="仿宋" w:cs="仿宋"/>
          <w:b/>
          <w:bCs/>
          <w:color w:val="auto"/>
          <w:sz w:val="28"/>
          <w:szCs w:val="28"/>
          <w:highlight w:val="none"/>
          <w:lang w:val="zh-CN"/>
        </w:rPr>
        <w:t xml:space="preserve">.质疑</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按照《中华人民共和国政府采购法》第六章有关规定，参加本次政府采购活动的供应商认为磋商文件、磋商过程和中标结果使自己的权益受到损害的，可以在知道或者应知道其权益受到损害之日起七个工作日内，以书面形式向采购人或者采购代理机构提出质疑。质疑人须一次性提全所有质疑事项，采购人及其代理机构不接受就同一项目的多次质疑。</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.1质疑书内容应包括以下主要内容：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.1.1质疑人的名称、地址、电话等；</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.1.2具体的质疑事项、证据以及法律、法规依据；</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.1.3提出质疑的日期。</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2质疑书应当署名，一式叁份。由法定代表人或者主要负责人签字并加盖公章后生效。代理人办理质疑事务时，还应当提交授权委托书，授权委托书应当载明代理的具体权限和事项。否则采购人或者采购代理机构不予受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.3除书面形式外，其他任何方式的质疑，采购人或者采购代理机构均不予接受和回复。</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.4采购人或者采购代理机构在收到质疑书后七个工作日内做出书面答复，并以书面形式通知质疑人和其他有关供应商，但答复不得涉及商业秘密。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.5质疑人对采购人、采购代理机构的答复不满意或者采购人、采购代理机构未在规定的时间内做出答复的，可以在答复期满后十五个工作日内向同级财政部门投诉。</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43</w:t>
      </w:r>
      <w:r>
        <w:rPr>
          <w:rFonts w:hint="eastAsia" w:ascii="仿宋" w:hAnsi="仿宋" w:eastAsia="仿宋" w:cs="仿宋"/>
          <w:b/>
          <w:bCs/>
          <w:color w:val="auto"/>
          <w:sz w:val="28"/>
          <w:szCs w:val="28"/>
          <w:highlight w:val="none"/>
          <w:lang w:val="zh-CN"/>
        </w:rPr>
        <w:t xml:space="preserve">.投诉</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.1投诉人提起投诉应符合下列条件：</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.1.1投诉人是参与所投诉政府采购活动的供应商；</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.1.2提起投诉前已依法进行质疑；</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.1.3投诉书内容符合财政部《政府采购质疑和投诉办法》（第94号令）规定；</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.1.4在投诉有效期限内提起投诉；</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.1.5属于本财政部门管辖；</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.1.6同一投诉事项未经财政部门投诉处理；</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.1.7法律法规规定的其他条件。</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.2投诉人投诉时，应当提交投诉书，并按照被投诉采购人、采购代理机构和与投诉事项有关的供应商数量提供投诉书的副本。</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.3投诉书应当包括以下主要内容：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.3.1投诉人和被投诉人的名称、地址、电话等；</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.3.2具体的投诉事宜以及事实依据；</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zh-CN"/>
        </w:rPr>
        <w:t xml:space="preserve">4.3.3质疑书和质疑答复情况以及相关证明材料；</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.3.4提起投诉的日期。</w:t>
      </w:r>
      <w:r/>
    </w:p>
    <w:p>
      <w:pPr>
        <w:ind w:firstLine="480"/>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投诉书应当署名。投诉人为自然人的，应当由本人签字；投诉人为法人或者其他组织的，应当由法定代表人或者主要负责人签字盖章并加盖公章。</w:t>
      </w:r>
      <w:r/>
    </w:p>
    <w:p>
      <w:pPr>
        <w:ind w:firstLine="480"/>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.4投诉人可以委托代理人办理投诉事务。代理人办理投诉事务时，除提交投诉书外，还应当向同级财政部门提交投诉人的授权委托书，授权委托书应当载明委托代理的具体权限和事项。</w:t>
      </w:r>
      <w:r/>
    </w:p>
    <w:p>
      <w:pPr>
        <w:ind w:firstLine="480"/>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.5投诉人不符合上述规定提起的投诉，财政部门不予受理。</w:t>
      </w:r>
      <w:r/>
    </w:p>
    <w:p>
      <w:pPr>
        <w:pStyle w:val="1163"/>
        <w:spacing w:before="240"/>
        <w:rPr>
          <w:color w:val="auto"/>
          <w:highlight w:val="none"/>
          <w:lang w:val="zh-CN"/>
        </w:rPr>
      </w:pPr>
      <w:r>
        <w:rPr>
          <w:color w:val="auto"/>
          <w:highlight w:val="none"/>
          <w:lang w:val="zh-CN"/>
        </w:rPr>
      </w:r>
      <w:r/>
    </w:p>
    <w:p>
      <w:pPr>
        <w:pStyle w:val="1099"/>
        <w:jc w:val="center"/>
        <w:spacing w:before="0" w:after="0" w:line="300" w:lineRule="auto"/>
        <w:rPr>
          <w:rFonts w:ascii="仿宋" w:hAnsi="仿宋" w:eastAsia="仿宋" w:cs="仿宋"/>
          <w:color w:val="auto"/>
          <w:sz w:val="28"/>
          <w:szCs w:val="28"/>
          <w:highlight w:val="none"/>
        </w:rPr>
      </w:pPr>
      <w:r/>
      <w:bookmarkStart w:id="127" w:name="_Toc329009672"/>
      <w:r>
        <w:rPr>
          <w:rFonts w:hint="eastAsia" w:ascii="仿宋" w:hAnsi="仿宋" w:eastAsia="仿宋" w:cs="仿宋"/>
          <w:color w:val="auto"/>
          <w:sz w:val="28"/>
          <w:szCs w:val="28"/>
          <w:highlight w:val="none"/>
        </w:rPr>
        <w:t xml:space="preserve">第十章  提供服务的时间</w:t>
      </w:r>
      <w:bookmarkEnd w:id="127"/>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44</w:t>
      </w:r>
      <w:r>
        <w:rPr>
          <w:rFonts w:hint="eastAsia" w:ascii="仿宋" w:hAnsi="仿宋" w:eastAsia="仿宋" w:cs="仿宋"/>
          <w:b/>
          <w:bCs/>
          <w:color w:val="auto"/>
          <w:sz w:val="28"/>
          <w:szCs w:val="28"/>
          <w:highlight w:val="none"/>
          <w:lang w:val="zh-CN"/>
        </w:rPr>
        <w:t xml:space="preserve">.服务期</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见供应商前附表须知</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45</w:t>
      </w:r>
      <w:r>
        <w:rPr>
          <w:rFonts w:hint="eastAsia" w:ascii="仿宋" w:hAnsi="仿宋" w:eastAsia="仿宋" w:cs="仿宋"/>
          <w:b/>
          <w:bCs/>
          <w:color w:val="auto"/>
          <w:sz w:val="28"/>
          <w:szCs w:val="28"/>
          <w:highlight w:val="none"/>
          <w:lang w:val="zh-CN"/>
        </w:rPr>
        <w:t xml:space="preserve">.服务地点</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泰州市靖江生态环境局指定地点。</w:t>
      </w:r>
      <w:r/>
    </w:p>
    <w:p>
      <w:pPr>
        <w:spacing w:line="300" w:lineRule="auto"/>
        <w:rPr>
          <w:rFonts w:ascii="仿宋" w:hAnsi="仿宋" w:eastAsia="仿宋" w:cs="仿宋"/>
          <w:color w:val="auto"/>
          <w:sz w:val="28"/>
          <w:szCs w:val="28"/>
          <w:highlight w:val="none"/>
          <w:lang w:val="zh-CN"/>
        </w:rPr>
      </w:pPr>
      <w:r>
        <w:rPr>
          <w:rFonts w:hint="eastAsia" w:ascii="仿宋" w:hAnsi="仿宋" w:eastAsia="仿宋" w:cs="仿宋"/>
          <w:b/>
          <w:bCs/>
          <w:color w:val="auto"/>
          <w:sz w:val="28"/>
          <w:szCs w:val="28"/>
          <w:highlight w:val="none"/>
        </w:rPr>
        <w:t xml:space="preserve">46</w:t>
      </w:r>
      <w:r>
        <w:rPr>
          <w:rFonts w:hint="eastAsia" w:ascii="仿宋" w:hAnsi="仿宋" w:eastAsia="仿宋" w:cs="仿宋"/>
          <w:b/>
          <w:bCs/>
          <w:color w:val="auto"/>
          <w:sz w:val="28"/>
          <w:szCs w:val="28"/>
          <w:highlight w:val="none"/>
          <w:lang w:val="zh-CN"/>
        </w:rPr>
        <w:t xml:space="preserve">.验收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见第十一章项目需求。</w:t>
      </w:r>
      <w:r/>
    </w:p>
    <w:p>
      <w:pPr>
        <w:spacing w:line="300" w:lineRule="auto"/>
        <w:rPr>
          <w:rFonts w:ascii="仿宋" w:hAnsi="仿宋" w:eastAsia="仿宋" w:cs="仿宋"/>
          <w:color w:val="auto"/>
          <w:sz w:val="24"/>
          <w:highlight w:val="none"/>
          <w:lang w:val="zh-CN"/>
        </w:rPr>
      </w:pPr>
      <w:r>
        <w:rPr>
          <w:rFonts w:hint="eastAsia" w:ascii="仿宋" w:hAnsi="仿宋" w:eastAsia="仿宋" w:cs="仿宋"/>
          <w:b/>
          <w:bCs/>
          <w:color w:val="auto"/>
          <w:sz w:val="28"/>
          <w:szCs w:val="28"/>
          <w:highlight w:val="none"/>
        </w:rPr>
        <w:t xml:space="preserve">47</w:t>
      </w:r>
      <w:r>
        <w:rPr>
          <w:rFonts w:hint="eastAsia" w:ascii="仿宋" w:hAnsi="仿宋" w:eastAsia="仿宋" w:cs="仿宋"/>
          <w:b/>
          <w:bCs/>
          <w:color w:val="auto"/>
          <w:sz w:val="28"/>
          <w:szCs w:val="28"/>
          <w:highlight w:val="none"/>
          <w:lang w:val="zh-CN"/>
        </w:rPr>
        <w:t xml:space="preserve">.售后服务</w:t>
      </w:r>
      <w:r/>
    </w:p>
    <w:p>
      <w:pPr>
        <w:ind w:firstLine="480"/>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见第十一章项目需求。</w:t>
      </w:r>
      <w:r/>
    </w:p>
    <w:p>
      <w:pPr>
        <w:spacing w:line="300" w:lineRule="auto"/>
        <w:rPr>
          <w:rFonts w:ascii="仿宋" w:hAnsi="仿宋" w:eastAsia="仿宋" w:cs="仿宋"/>
          <w:color w:val="auto"/>
          <w:sz w:val="24"/>
          <w:highlight w:val="none"/>
        </w:rPr>
      </w:pPr>
      <w:r>
        <w:rPr>
          <w:rFonts w:ascii="仿宋" w:hAnsi="仿宋" w:eastAsia="仿宋" w:cs="仿宋"/>
          <w:color w:val="auto"/>
          <w:sz w:val="24"/>
          <w:highlight w:val="none"/>
        </w:rPr>
      </w:r>
      <w:r/>
    </w:p>
    <w:p>
      <w:pPr>
        <w:pStyle w:val="1099"/>
        <w:ind w:firstLine="2670"/>
        <w:spacing w:before="0" w:after="0" w:line="300" w:lineRule="auto"/>
        <w:rPr>
          <w:rFonts w:ascii="仿宋" w:hAnsi="仿宋" w:eastAsia="仿宋" w:cs="仿宋"/>
          <w:color w:val="auto"/>
          <w:highlight w:val="none"/>
          <w:lang w:val="zh-CN"/>
        </w:rPr>
      </w:pPr>
      <w:r>
        <w:rPr>
          <w:rFonts w:hint="eastAsia" w:ascii="仿宋" w:hAnsi="仿宋" w:eastAsia="仿宋" w:cs="仿宋"/>
          <w:color w:val="auto"/>
          <w:sz w:val="28"/>
          <w:szCs w:val="28"/>
          <w:highlight w:val="none"/>
        </w:rPr>
        <w:t xml:space="preserve">第十一章   项目需求以及技术要求</w:t>
      </w:r>
      <w:bookmarkEnd w:id="55"/>
      <w:r/>
      <w:r/>
    </w:p>
    <w:p>
      <w:pPr>
        <w:spacing w:line="300" w:lineRule="auto"/>
        <w:rPr>
          <w:rFonts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rPr>
        <w:t xml:space="preserve">48</w:t>
      </w:r>
      <w:r>
        <w:rPr>
          <w:rFonts w:hint="eastAsia" w:ascii="仿宋" w:hAnsi="仿宋" w:eastAsia="仿宋" w:cs="仿宋"/>
          <w:b/>
          <w:color w:val="auto"/>
          <w:sz w:val="28"/>
          <w:szCs w:val="28"/>
          <w:highlight w:val="none"/>
          <w:lang w:val="zh-CN"/>
        </w:rPr>
        <w:t xml:space="preserve">.项目说明</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48</w:t>
      </w:r>
      <w:r>
        <w:rPr>
          <w:rFonts w:hint="eastAsia" w:ascii="仿宋" w:hAnsi="仿宋" w:eastAsia="仿宋" w:cs="仿宋"/>
          <w:color w:val="auto"/>
          <w:sz w:val="24"/>
          <w:highlight w:val="none"/>
          <w:lang w:val="zh-CN"/>
        </w:rPr>
        <w:t xml:space="preserve">.1本章内容是根据采购项目的实际需求制定的。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48</w:t>
      </w:r>
      <w:r>
        <w:rPr>
          <w:rFonts w:hint="eastAsia" w:ascii="仿宋" w:hAnsi="仿宋" w:eastAsia="仿宋" w:cs="仿宋"/>
          <w:color w:val="auto"/>
          <w:sz w:val="24"/>
          <w:highlight w:val="none"/>
          <w:lang w:val="zh-CN"/>
        </w:rPr>
        <w:t xml:space="preserve">.2本项目共分为</w:t>
      </w:r>
      <w:r>
        <w:rPr>
          <w:rFonts w:hint="eastAsia" w:ascii="仿宋" w:hAnsi="仿宋" w:eastAsia="仿宋" w:cs="仿宋"/>
          <w:color w:val="auto"/>
          <w:sz w:val="24"/>
          <w:highlight w:val="none"/>
          <w:u w:val="single"/>
          <w:lang w:val="zh-CN"/>
        </w:rPr>
        <w:t xml:space="preserve"> 1 </w:t>
      </w:r>
      <w:r>
        <w:rPr>
          <w:rFonts w:hint="eastAsia" w:ascii="仿宋" w:hAnsi="仿宋" w:eastAsia="仿宋" w:cs="仿宋"/>
          <w:color w:val="auto"/>
          <w:sz w:val="24"/>
          <w:highlight w:val="none"/>
          <w:lang w:val="zh-CN"/>
        </w:rPr>
        <w:t xml:space="preserve">个标包进行磋商。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48</w:t>
      </w:r>
      <w:r>
        <w:rPr>
          <w:rFonts w:hint="eastAsia" w:ascii="仿宋" w:hAnsi="仿宋" w:eastAsia="仿宋" w:cs="仿宋"/>
          <w:color w:val="auto"/>
          <w:sz w:val="24"/>
          <w:highlight w:val="none"/>
          <w:lang w:val="zh-CN"/>
        </w:rPr>
        <w:t xml:space="preserve">.3服务质量达到国家有关标准。</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49</w:t>
      </w:r>
      <w:r>
        <w:rPr>
          <w:rFonts w:hint="eastAsia" w:ascii="仿宋" w:hAnsi="仿宋" w:eastAsia="仿宋" w:cs="仿宋"/>
          <w:b/>
          <w:bCs/>
          <w:color w:val="auto"/>
          <w:sz w:val="28"/>
          <w:szCs w:val="28"/>
          <w:highlight w:val="none"/>
          <w:lang w:val="zh-CN"/>
        </w:rPr>
        <w:t xml:space="preserve">.磋商服务的技术规格、要求和数量（包括附件、图纸等）</w:t>
      </w:r>
      <w:bookmarkEnd w:id="56"/>
      <w:r/>
      <w:bookmarkEnd w:id="57"/>
      <w:r/>
      <w:bookmarkEnd w:id="58"/>
      <w:r/>
      <w:bookmarkEnd w:id="59"/>
      <w:r/>
      <w:bookmarkEnd w:id="60"/>
      <w:r/>
      <w:bookmarkEnd w:id="61"/>
      <w:r/>
      <w:bookmarkEnd w:id="62"/>
      <w:r/>
      <w:bookmarkEnd w:id="63"/>
      <w:r/>
      <w:bookmarkEnd w:id="64"/>
      <w:r/>
      <w:bookmarkEnd w:id="65"/>
      <w:r/>
      <w:r/>
    </w:p>
    <w:p>
      <w:pPr>
        <w:ind w:firstLine="435"/>
        <w:spacing w:line="300" w:lineRule="auto"/>
        <w:tabs>
          <w:tab w:val="left" w:pos="540" w:leader="none"/>
          <w:tab w:val="left" w:pos="720" w:leader="none"/>
        </w:tabs>
        <w:rPr>
          <w:rFonts w:ascii="仿宋" w:hAnsi="仿宋" w:eastAsia="仿宋"/>
          <w:b/>
          <w:color w:val="auto"/>
          <w:sz w:val="24"/>
          <w:szCs w:val="19"/>
          <w:highlight w:val="none"/>
          <w:lang w:val="zh-CN"/>
        </w:rPr>
      </w:pPr>
      <w:r>
        <w:rPr>
          <w:rFonts w:hint="eastAsia" w:ascii="仿宋" w:hAnsi="仿宋" w:eastAsia="仿宋"/>
          <w:b/>
          <w:color w:val="auto"/>
          <w:sz w:val="24"/>
          <w:szCs w:val="19"/>
          <w:highlight w:val="none"/>
          <w:lang w:val="zh-CN"/>
        </w:rPr>
        <w:t xml:space="preserve">49.1项目概况</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根据《关于印发&lt;江苏省美丽河湖保护与建设实施指导方案&gt;的通知</w:t>
      </w:r>
      <w:r>
        <w:rPr>
          <w:rFonts w:hint="eastAsia" w:ascii="仿宋" w:hAnsi="仿宋" w:eastAsia="仿宋"/>
          <w:color w:val="auto"/>
          <w:sz w:val="24"/>
          <w:szCs w:val="19"/>
          <w:highlight w:val="none"/>
          <w:lang w:val="zh-CN"/>
        </w:rPr>
        <w:t xml:space="preserve">》（苏污防攻坚指办﹝2024﹞27号）《泰州市美丽河湖保护与建设实施指导方案》（泰污防攻坚指办﹝2024﹞18号）要求，对靖江市纳入美丽河湖建设任务清单的长江（靖江段）、十圩港、上六圩港等3条河道，逐条开展生态状况调查评估，对已创建成功的省级美丽河湖开展跟踪监测评价；同步提出美丽河湖实施方案，并按上级部门对省市级美丽河湖创建的时序要求，逐条开展成效评估及省市美丽河湖申报工作。同时，结合国考断面优良水体考核需求，对夏仕港大桥国考断面及周边水域开展生态环境调查，诊断生态退化及生物多样性降低原因，并提出修复方案。</w:t>
      </w:r>
      <w:r/>
    </w:p>
    <w:p>
      <w:pPr>
        <w:ind w:firstLine="435"/>
        <w:spacing w:line="300" w:lineRule="auto"/>
        <w:tabs>
          <w:tab w:val="left" w:pos="540" w:leader="none"/>
          <w:tab w:val="left" w:pos="720" w:leader="none"/>
        </w:tabs>
        <w:rPr>
          <w:rFonts w:ascii="仿宋" w:hAnsi="仿宋" w:eastAsia="仿宋"/>
          <w:b/>
          <w:color w:val="auto"/>
          <w:sz w:val="24"/>
          <w:szCs w:val="19"/>
          <w:highlight w:val="none"/>
          <w:lang w:val="zh-CN"/>
        </w:rPr>
      </w:pPr>
      <w:r>
        <w:rPr>
          <w:rFonts w:hint="eastAsia" w:ascii="仿宋" w:hAnsi="仿宋" w:eastAsia="仿宋"/>
          <w:b/>
          <w:color w:val="auto"/>
          <w:sz w:val="24"/>
          <w:szCs w:val="19"/>
          <w:highlight w:val="none"/>
          <w:lang w:val="zh-CN"/>
        </w:rPr>
        <w:t xml:space="preserve">49.2</w:t>
      </w:r>
      <w:bookmarkStart w:id="128" w:name="_Toc8988"/>
      <w:r/>
      <w:bookmarkStart w:id="129" w:name="_Toc13392"/>
      <w:r/>
      <w:bookmarkStart w:id="130" w:name="_Toc22324"/>
      <w:r>
        <w:rPr>
          <w:rFonts w:hint="eastAsia" w:ascii="仿宋" w:hAnsi="仿宋" w:eastAsia="仿宋"/>
          <w:b/>
          <w:color w:val="auto"/>
          <w:sz w:val="24"/>
          <w:szCs w:val="19"/>
          <w:highlight w:val="none"/>
          <w:lang w:val="zh-CN"/>
        </w:rPr>
        <w:t xml:space="preserve">工作范围</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本项目工作范围为：长江（靖江段）、夏仕港、十圩港、上六圩港。</w:t>
      </w:r>
      <w:r/>
    </w:p>
    <w:tbl>
      <w:tblPr>
        <w:tblStyle w:val="896"/>
        <w:tblW w:w="48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78"/>
        <w:gridCol w:w="4745"/>
      </w:tblGrid>
      <w:tr>
        <w:trPr>
          <w:jc w:val="center"/>
          <w:trHeight w:val="334"/>
          <w:tblHeader/>
        </w:trPr>
        <w:tc>
          <w:tcPr>
            <w:tcBorders>
              <w:top w:val="single" w:color="000000" w:sz="4" w:space="0"/>
              <w:left w:val="single" w:color="000000" w:sz="4" w:space="0"/>
              <w:bottom w:val="single" w:color="000000" w:sz="4" w:space="0"/>
              <w:right w:val="single" w:color="000000" w:sz="4" w:space="0"/>
            </w:tcBorders>
            <w:tcW w:w="2341" w:type="pct"/>
            <w:vAlign w:val="center"/>
            <w:textDirection w:val="lrTb"/>
            <w:noWrap/>
          </w:tcPr>
          <w:p>
            <w:pPr>
              <w:jc w:val="center"/>
              <w:rPr>
                <w:rFonts w:ascii="仿宋" w:hAnsi="仿宋" w:eastAsia="仿宋"/>
                <w:b/>
                <w:color w:val="auto"/>
                <w:sz w:val="24"/>
                <w:szCs w:val="19"/>
                <w:highlight w:val="none"/>
                <w:lang w:val="zh-CN"/>
              </w:rPr>
            </w:pPr>
            <w:r>
              <w:rPr>
                <w:rFonts w:hint="eastAsia" w:ascii="仿宋" w:hAnsi="仿宋" w:eastAsia="仿宋"/>
                <w:b/>
                <w:color w:val="auto"/>
                <w:sz w:val="24"/>
                <w:szCs w:val="19"/>
                <w:highlight w:val="none"/>
                <w:lang w:val="zh-CN"/>
              </w:rPr>
              <w:t xml:space="preserve">河流名称</w:t>
            </w:r>
            <w:r/>
          </w:p>
        </w:tc>
        <w:tc>
          <w:tcPr>
            <w:tcBorders>
              <w:top w:val="single" w:color="000000" w:sz="4" w:space="0"/>
              <w:left w:val="single" w:color="000000" w:sz="4" w:space="0"/>
              <w:bottom w:val="single" w:color="000000" w:sz="4" w:space="0"/>
              <w:right w:val="single" w:color="000000" w:sz="4" w:space="0"/>
            </w:tcBorders>
            <w:tcW w:w="2659" w:type="pct"/>
            <w:vAlign w:val="center"/>
            <w:textDirection w:val="lrTb"/>
            <w:noWrap/>
          </w:tcPr>
          <w:p>
            <w:pPr>
              <w:jc w:val="center"/>
              <w:rPr>
                <w:rFonts w:ascii="仿宋" w:hAnsi="仿宋" w:eastAsia="仿宋"/>
                <w:b/>
                <w:color w:val="auto"/>
                <w:sz w:val="24"/>
                <w:szCs w:val="19"/>
                <w:highlight w:val="none"/>
                <w:lang w:val="zh-CN"/>
              </w:rPr>
            </w:pPr>
            <w:r>
              <w:rPr>
                <w:rFonts w:hint="eastAsia" w:ascii="仿宋" w:hAnsi="仿宋" w:eastAsia="仿宋"/>
                <w:b/>
                <w:color w:val="auto"/>
                <w:sz w:val="24"/>
                <w:szCs w:val="19"/>
                <w:highlight w:val="none"/>
                <w:lang w:val="zh-CN"/>
              </w:rPr>
              <w:t xml:space="preserve">考核断面</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2341" w:type="pct"/>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长江</w:t>
            </w:r>
            <w:r/>
          </w:p>
        </w:tc>
        <w:tc>
          <w:tcPr>
            <w:tcBorders>
              <w:top w:val="single" w:color="000000" w:sz="4" w:space="0"/>
              <w:left w:val="single" w:color="000000" w:sz="4" w:space="0"/>
              <w:bottom w:val="single" w:color="000000" w:sz="4" w:space="0"/>
              <w:right w:val="single" w:color="000000" w:sz="4" w:space="0"/>
            </w:tcBorders>
            <w:tcW w:w="2659" w:type="pct"/>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蟛蜞港、下青龙港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2341" w:type="pct"/>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夏仕港</w:t>
            </w:r>
            <w:r/>
          </w:p>
        </w:tc>
        <w:tc>
          <w:tcPr>
            <w:tcBorders>
              <w:top w:val="single" w:color="000000" w:sz="4" w:space="0"/>
              <w:left w:val="single" w:color="000000" w:sz="4" w:space="0"/>
              <w:bottom w:val="single" w:color="000000" w:sz="4" w:space="0"/>
              <w:right w:val="single" w:color="000000" w:sz="4" w:space="0"/>
            </w:tcBorders>
            <w:tcW w:w="2659" w:type="pct"/>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夏仕港大桥</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2341" w:type="pct"/>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十圩港</w:t>
            </w:r>
            <w:r/>
          </w:p>
        </w:tc>
        <w:tc>
          <w:tcPr>
            <w:tcBorders>
              <w:top w:val="single" w:color="000000" w:sz="4" w:space="0"/>
              <w:left w:val="single" w:color="000000" w:sz="4" w:space="0"/>
              <w:bottom w:val="single" w:color="000000" w:sz="4" w:space="0"/>
              <w:right w:val="single" w:color="000000" w:sz="4" w:space="0"/>
            </w:tcBorders>
            <w:tcW w:w="2659" w:type="pct"/>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新十圩港大桥</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2341" w:type="pct"/>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上六圩港</w:t>
            </w:r>
            <w:r/>
          </w:p>
        </w:tc>
        <w:tc>
          <w:tcPr>
            <w:tcBorders>
              <w:top w:val="single" w:color="000000" w:sz="4" w:space="0"/>
              <w:left w:val="single" w:color="000000" w:sz="4" w:space="0"/>
              <w:bottom w:val="single" w:color="000000" w:sz="4" w:space="0"/>
              <w:right w:val="single" w:color="000000" w:sz="4" w:space="0"/>
            </w:tcBorders>
            <w:tcW w:w="2659" w:type="pct"/>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上六圩港桥</w:t>
            </w:r>
            <w:r/>
          </w:p>
        </w:tc>
      </w:tr>
    </w:tbl>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49.2.2工作期限</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结合本项目实际需求，工作期限为2026~2028年。</w:t>
      </w:r>
      <w:r/>
    </w:p>
    <w:p>
      <w:pPr>
        <w:ind w:firstLine="482"/>
        <w:spacing w:line="300" w:lineRule="auto"/>
        <w:rPr>
          <w:rFonts w:ascii="仿宋" w:hAnsi="仿宋" w:eastAsia="仿宋"/>
          <w:b/>
          <w:color w:val="auto"/>
          <w:sz w:val="24"/>
          <w:szCs w:val="19"/>
          <w:highlight w:val="none"/>
          <w:lang w:val="zh-CN"/>
        </w:rPr>
      </w:pPr>
      <w:r>
        <w:rPr>
          <w:rFonts w:hint="eastAsia" w:ascii="仿宋" w:hAnsi="仿宋" w:eastAsia="仿宋"/>
          <w:b/>
          <w:color w:val="auto"/>
          <w:sz w:val="24"/>
          <w:szCs w:val="19"/>
          <w:highlight w:val="none"/>
          <w:lang w:val="zh-CN"/>
        </w:rPr>
        <w:t xml:space="preserve">49.3工作内容</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49.3.1美丽河湖水生态调查评估</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按照《江苏省美丽河湖保护与建设管理办法（试行）》《江苏省美丽河湖评价技术指南（试行）》及相关监测评价指南要求，对靖江市纳入美丽河湖建设清单范围的长江（靖江段）、上六圩港、十圩港等3条美丽河湖，衔接长江流域水生态考核试点等工作，逐条开展水生态调查评估，对已创建成功的省级美丽河湖开展跟踪监测评价，评估内容涵盖水生植被、着生藻类、鱼类、重点水生动物、大型底栖无脊椎动物、外来物种入侵、自然岸线等多项重点指标，每条河道开展1~3次调查（每项指标涉及点位4~6个）。</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（2）针对夏仕港国考断面“十五五”优良水体考核需求，对夏仕港大桥国考断面及周边水域补充开展水下地形、底质、水质、水生生物等指标专项调查，并进行生态状况及生境问题诊断评估。</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49.3.2美丽河湖保护与建设实施方案编制</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基于长江（靖江段）、上六圩港、十圩港3条河道水生态调查结果，分析评价美丽河湖水生态现状及存在问题，因地制宜明确美丽河湖建设目标，统筹水资源、水生态、水环境等要素，围绕分类开展分布推进水系连通工程、生态修复工程、本质治污工程、生态产品工程“四大工程”建设，提出针对性对策建议，制定美丽河湖建设实施方案（2026-2030年）。</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结合夏仕港大桥国考断面水生态专项调查结果，通过长短结合的生态修复策略，聚焦底栖动物生存核心需求，提出水生态修复及底栖动物恢复建议方案，为科学实施水生态修复工程，保障夏仕港大桥国考断面优良水体考核稳定达标提供支撑。</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49.3.3美丽河湖建设成效评估及创建申报</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根据《江苏省美丽河湖评价技术指南（试行）》《江苏省美丽河湖保护与建设管理办法（试行）》相关文件要求，按上级部门对省市级美丽河湖创建时序要求，对长江（靖江段）、上六圩港、十圩港3条河道，逐条汇编形成自评报告等等上级部门要求材料，支撑开展美丽河湖创建申报全过程上报、评选工作。</w:t>
      </w:r>
      <w:r/>
    </w:p>
    <w:p>
      <w:pPr>
        <w:ind w:firstLine="482"/>
        <w:spacing w:line="300" w:lineRule="auto"/>
        <w:rPr>
          <w:rFonts w:ascii="仿宋" w:hAnsi="仿宋" w:eastAsia="仿宋"/>
          <w:b/>
          <w:color w:val="auto"/>
          <w:sz w:val="24"/>
          <w:szCs w:val="19"/>
          <w:highlight w:val="none"/>
          <w:lang w:val="zh-CN"/>
        </w:rPr>
      </w:pPr>
      <w:r>
        <w:rPr>
          <w:rFonts w:hint="eastAsia" w:ascii="仿宋" w:hAnsi="仿宋" w:eastAsia="仿宋"/>
          <w:b/>
          <w:color w:val="auto"/>
          <w:sz w:val="24"/>
          <w:szCs w:val="19"/>
          <w:highlight w:val="none"/>
          <w:lang w:val="zh-CN"/>
        </w:rPr>
        <w:t xml:space="preserve">49.4预期工作成果</w:t>
      </w:r>
      <w:r/>
    </w:p>
    <w:tbl>
      <w:tblPr>
        <w:tblStyle w:val="89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05"/>
        <w:gridCol w:w="7574"/>
      </w:tblGrid>
      <w:tr>
        <w:trPr>
          <w:jc w:val="center"/>
          <w:trHeight w:val="551"/>
          <w:tblHead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年度</w:t>
            </w:r>
            <w:r/>
          </w:p>
        </w:tc>
        <w:tc>
          <w:tcPr>
            <w:tcBorders>
              <w:top w:val="single" w:color="000000" w:sz="4" w:space="0"/>
              <w:left w:val="single" w:color="000000" w:sz="4" w:space="0"/>
              <w:bottom w:val="single" w:color="000000" w:sz="4" w:space="0"/>
              <w:right w:val="single" w:color="000000" w:sz="4" w:space="0"/>
            </w:tcBorders>
            <w:tcW w:w="7574" w:type="dxa"/>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成果清单</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2026年</w:t>
            </w:r>
            <w:r/>
          </w:p>
        </w:tc>
        <w:tc>
          <w:tcPr>
            <w:tcBorders>
              <w:top w:val="single" w:color="000000" w:sz="4" w:space="0"/>
              <w:left w:val="single" w:color="000000" w:sz="4" w:space="0"/>
              <w:bottom w:val="single" w:color="000000" w:sz="4" w:space="0"/>
              <w:right w:val="single" w:color="000000" w:sz="4" w:space="0"/>
            </w:tcBorders>
            <w:tcW w:w="7574" w:type="dxa"/>
            <w:vAlign w:val="center"/>
            <w:textDirection w:val="lrTb"/>
            <w:noWrap/>
          </w:tcPr>
          <w:p>
            <w:pP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长江（靖江段）、夏仕港、上六圩港、十圩港4条河道水生态调查评估报告；</w:t>
            </w:r>
            <w:r/>
          </w:p>
          <w:p>
            <w:pP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美丽河湖保护与建设实施方案（2026-2030年）；</w:t>
            </w:r>
            <w:r/>
          </w:p>
          <w:p>
            <w:pP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提供2026年度美丽河湖创建申报服务：形成1套自评报告等上级部门要求的美丽河湖创建申报材料。</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2027年</w:t>
            </w:r>
            <w:r/>
          </w:p>
        </w:tc>
        <w:tc>
          <w:tcPr>
            <w:tcBorders>
              <w:top w:val="single" w:color="000000" w:sz="4" w:space="0"/>
              <w:left w:val="single" w:color="000000" w:sz="4" w:space="0"/>
              <w:bottom w:val="single" w:color="000000" w:sz="4" w:space="0"/>
              <w:right w:val="single" w:color="000000" w:sz="4" w:space="0"/>
            </w:tcBorders>
            <w:tcW w:w="7574" w:type="dxa"/>
            <w:vAlign w:val="center"/>
            <w:textDirection w:val="lrTb"/>
            <w:noWrap/>
          </w:tcPr>
          <w:p>
            <w:pP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夏仕港大桥国考断面水生态修复及底栖动物恢复建议方案；</w:t>
            </w:r>
            <w:r/>
          </w:p>
          <w:p>
            <w:pP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根据需求对拟申报及上一年已创建成功的省级美丽河湖开展水生态调查，形成调查评估报告；</w:t>
            </w:r>
            <w:r/>
          </w:p>
          <w:p>
            <w:pP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提供2027年度美丽河湖创建申报服务：形成1套自评报告等上级部门要求的美丽河湖创建申报材料。</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3</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2028年</w:t>
            </w:r>
            <w:r/>
          </w:p>
        </w:tc>
        <w:tc>
          <w:tcPr>
            <w:tcBorders>
              <w:top w:val="single" w:color="000000" w:sz="4" w:space="0"/>
              <w:left w:val="single" w:color="000000" w:sz="4" w:space="0"/>
              <w:bottom w:val="single" w:color="000000" w:sz="4" w:space="0"/>
              <w:right w:val="single" w:color="000000" w:sz="4" w:space="0"/>
            </w:tcBorders>
            <w:tcW w:w="7574" w:type="dxa"/>
            <w:vAlign w:val="center"/>
            <w:textDirection w:val="lrTb"/>
            <w:noWrap/>
          </w:tcPr>
          <w:p>
            <w:pP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根据需求对拟申报及上一年已创建成功的省级美丽河湖开展水生态调查，形成调查评估报告；</w:t>
            </w:r>
            <w:r/>
          </w:p>
          <w:p>
            <w:pP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提供2028年度美丽河湖创建申报服务：形成1套自评报告等上级部门要求的美丽河湖创建申报材料。</w:t>
            </w:r>
            <w:r/>
          </w:p>
        </w:tc>
      </w:tr>
    </w:tbl>
    <w:p>
      <w:pPr>
        <w:ind w:firstLine="482"/>
        <w:spacing w:line="300" w:lineRule="auto"/>
        <w:rPr>
          <w:rFonts w:ascii="仿宋" w:hAnsi="仿宋" w:eastAsia="仿宋"/>
          <w:b/>
          <w:color w:val="auto"/>
          <w:sz w:val="24"/>
          <w:szCs w:val="19"/>
          <w:highlight w:val="none"/>
          <w:lang w:val="zh-CN"/>
        </w:rPr>
      </w:pPr>
      <w:r>
        <w:rPr>
          <w:rFonts w:hint="eastAsia" w:ascii="仿宋" w:hAnsi="仿宋" w:eastAsia="仿宋"/>
          <w:b/>
          <w:color w:val="auto"/>
          <w:sz w:val="24"/>
          <w:szCs w:val="19"/>
          <w:highlight w:val="none"/>
          <w:lang w:val="zh-CN"/>
        </w:rPr>
        <w:t xml:space="preserve">49.5商务响应条款</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49.5.1</w:t>
      </w:r>
      <w:bookmarkStart w:id="131" w:name="OLE_LINK165"/>
      <w:r/>
      <w:bookmarkStart w:id="132" w:name="OLE_LINK164"/>
      <w:r>
        <w:rPr>
          <w:rFonts w:hint="eastAsia" w:ascii="仿宋" w:hAnsi="仿宋" w:eastAsia="仿宋"/>
          <w:color w:val="auto"/>
          <w:sz w:val="24"/>
          <w:szCs w:val="19"/>
          <w:highlight w:val="none"/>
          <w:lang w:val="zh-CN"/>
        </w:rPr>
        <w:t xml:space="preserve">投标总体响应</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供应商仔细研读本项目招标文件全部条款、答疑及补遗文件，</w:t>
      </w:r>
      <w:r>
        <w:rPr>
          <w:rFonts w:hint="eastAsia" w:ascii="仿宋" w:hAnsi="仿宋" w:eastAsia="仿宋"/>
          <w:b/>
          <w:bCs/>
          <w:color w:val="auto"/>
          <w:sz w:val="24"/>
          <w:szCs w:val="19"/>
          <w:highlight w:val="none"/>
          <w:lang w:val="zh-CN"/>
        </w:rPr>
        <w:t xml:space="preserve">完全认可并无条件响应招标文件所有商务要求、合同条款、服务要求、工期要求、付款方式、履约要求</w:t>
      </w:r>
      <w:r>
        <w:rPr>
          <w:rFonts w:hint="eastAsia" w:ascii="仿宋" w:hAnsi="仿宋" w:eastAsia="仿宋"/>
          <w:color w:val="auto"/>
          <w:sz w:val="24"/>
          <w:szCs w:val="19"/>
          <w:highlight w:val="none"/>
          <w:lang w:val="zh-CN"/>
        </w:rPr>
        <w:t xml:space="preserve">，无任何重大偏离、无任何细微偏离。</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49.5.2付款方式</w:t>
      </w:r>
      <w:bookmarkStart w:id="133" w:name="OLE_LINK23"/>
      <w:r/>
      <w:bookmarkStart w:id="134" w:name="OLE_LINK22"/>
      <w:r>
        <w:rPr>
          <w:rFonts w:hint="eastAsia" w:ascii="仿宋" w:hAnsi="仿宋" w:eastAsia="仿宋"/>
          <w:color w:val="auto"/>
          <w:sz w:val="24"/>
          <w:szCs w:val="19"/>
          <w:highlight w:val="none"/>
          <w:lang w:val="zh-CN"/>
        </w:rPr>
        <w:t xml:space="preserve">响应</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（1）合同签订后，30日内支付合同金额的30%；</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（2）完成2026年度相关工作成果后，支付到合同金额的65%；</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（3）完成2027年度相关工作成果后，支付到合同金额的85%；</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（4）完成2028</w:t>
      </w:r>
      <w:bookmarkStart w:id="135" w:name="OLE_LINK125"/>
      <w:r/>
      <w:bookmarkStart w:id="136" w:name="OLE_LINK124"/>
      <w:r>
        <w:rPr>
          <w:rFonts w:hint="eastAsia" w:ascii="仿宋" w:hAnsi="仿宋" w:eastAsia="仿宋"/>
          <w:color w:val="auto"/>
          <w:sz w:val="24"/>
          <w:szCs w:val="19"/>
          <w:highlight w:val="none"/>
          <w:lang w:val="zh-CN"/>
        </w:rPr>
        <w:t xml:space="preserve">年度相</w:t>
      </w:r>
      <w:bookmarkEnd w:id="135"/>
      <w:r/>
      <w:bookmarkEnd w:id="136"/>
      <w:r>
        <w:rPr>
          <w:rFonts w:hint="eastAsia" w:ascii="仿宋" w:hAnsi="仿宋" w:eastAsia="仿宋"/>
          <w:color w:val="auto"/>
          <w:sz w:val="24"/>
          <w:szCs w:val="19"/>
          <w:highlight w:val="none"/>
          <w:lang w:val="zh-CN"/>
        </w:rPr>
        <w:t xml:space="preserve">关工作成果后，支付到合同金额的100%。</w:t>
      </w:r>
      <w:bookmarkEnd w:id="133"/>
      <w:r/>
      <w:bookmarkEnd w:id="134"/>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完全响应招标文件及合同约定的</w:t>
      </w:r>
      <w:r>
        <w:rPr>
          <w:rFonts w:hint="eastAsia" w:ascii="仿宋" w:hAnsi="仿宋" w:eastAsia="仿宋"/>
          <w:b/>
          <w:bCs/>
          <w:color w:val="auto"/>
          <w:sz w:val="24"/>
          <w:szCs w:val="19"/>
          <w:highlight w:val="none"/>
          <w:lang w:val="zh-CN"/>
        </w:rPr>
        <w:t xml:space="preserve">付款节点、付款比例、付款流程</w:t>
      </w:r>
      <w:r>
        <w:rPr>
          <w:rFonts w:hint="eastAsia" w:ascii="仿宋" w:hAnsi="仿宋" w:eastAsia="仿宋"/>
          <w:color w:val="auto"/>
          <w:sz w:val="24"/>
          <w:szCs w:val="19"/>
          <w:highlight w:val="none"/>
          <w:lang w:val="zh-CN"/>
        </w:rPr>
        <w:t xml:space="preserve">，无付款条件异议，接受按项目进度、验收情况分期支付。</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49.5.3工期及服务周期响应</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（1）完全响应招标文件规定的服务周期、成果交付时间节点。</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（2）承诺按招标人要求完成现场调查、监测评估、报告编制、评审修改、成果验收全部工作，按期保质交付。</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49.5.4质量标准响应</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（1）完全响应国家、江苏省现行河湖生态调查、健康评估、美丽河湖创建相关规范标准。</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（2）保证成果资料真实、完整、合规，满足主管部门评审、备案、验收要求，质量达到合格及以上标准。</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49.5.5报价范围响应</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详见招标文件前附表</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49.5.6履约及属地服务响应</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（1）承诺组建固定专属项目团队，配备项目负责人、技术负责人、专业技术人员全程驻场配合。</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（2）提供本地化技术服务，随时配合招标人现场核查、资料补报、主管部门督查及评审修改。</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（3）承诺不转包、不违法分包本项目全部工作内容。</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49.5.7合规响应</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严格遵守招投标廉洁自律规定，杜绝围标、串标、商业贿赂等行为。</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49.5.8成果版权及保密响应</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（1）本项目所有调查数据、报告成果、图件资料知识产权归招标人所有，我方仅为本项目使用，不得外泄、不得挪作他用。</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（2）对项目涉水生态敏感数据、沿线资料严格保密，承担保密责任。</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49.5.9后续服务及质保响应</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（1）项目验收后提供长期技术咨询、成果解释、资料补正、后续河湖创建配套技术支撑。</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（2）配合后续主管部门复核、抽查、美丽河湖申报验收等后续相关工作。</w:t>
      </w:r>
      <w:r/>
    </w:p>
    <w:p>
      <w:pPr>
        <w:ind w:firstLine="482"/>
        <w:spacing w:line="300" w:lineRule="auto"/>
        <w:rPr>
          <w:rFonts w:ascii="仿宋" w:hAnsi="仿宋" w:eastAsia="仿宋"/>
          <w:b/>
          <w:color w:val="auto"/>
          <w:sz w:val="24"/>
          <w:szCs w:val="19"/>
          <w:highlight w:val="none"/>
          <w:lang w:val="zh-CN"/>
        </w:rPr>
      </w:pPr>
      <w:r>
        <w:rPr>
          <w:rFonts w:hint="eastAsia" w:ascii="仿宋" w:hAnsi="仿宋" w:eastAsia="仿宋"/>
          <w:b/>
          <w:color w:val="auto"/>
          <w:sz w:val="24"/>
          <w:szCs w:val="19"/>
          <w:highlight w:val="none"/>
          <w:lang w:val="zh-CN"/>
        </w:rPr>
        <w:t xml:space="preserve">本项目以上所有商务条款、合同条款、服务要求均完全响应，无重大偏离、无细微偏离。</w:t>
      </w:r>
      <w:bookmarkEnd w:id="131"/>
      <w:r/>
      <w:bookmarkEnd w:id="132"/>
      <w:r/>
      <w:r/>
    </w:p>
    <w:p>
      <w:pPr>
        <w:ind w:firstLine="480"/>
        <w:spacing w:line="300" w:lineRule="auto"/>
        <w:rPr>
          <w:rFonts w:ascii="仿宋" w:hAnsi="仿宋" w:eastAsia="仿宋"/>
          <w:color w:val="auto"/>
          <w:sz w:val="24"/>
          <w:szCs w:val="19"/>
          <w:highlight w:val="none"/>
          <w:lang w:val="zh-CN"/>
        </w:rPr>
      </w:pPr>
      <w:r/>
      <w:bookmarkStart w:id="137" w:name="OLE_LINK140"/>
      <w:r/>
      <w:bookmarkStart w:id="138" w:name="OLE_LINK132"/>
      <w:r/>
      <w:bookmarkStart w:id="139" w:name="OLE_LINK131"/>
      <w:r>
        <w:rPr>
          <w:rFonts w:hint="eastAsia" w:ascii="仿宋" w:hAnsi="仿宋" w:eastAsia="仿宋"/>
          <w:color w:val="auto"/>
          <w:sz w:val="24"/>
          <w:szCs w:val="19"/>
          <w:highlight w:val="none"/>
          <w:lang w:val="zh-CN"/>
        </w:rPr>
        <w:t xml:space="preserve">49.6专业人员和设备响应</w:t>
      </w:r>
      <w:bookmarkEnd w:id="128"/>
      <w:r/>
      <w:bookmarkEnd w:id="129"/>
      <w:r/>
      <w:bookmarkEnd w:id="130"/>
      <w:r/>
      <w:bookmarkEnd w:id="137"/>
      <w:r/>
      <w:bookmarkEnd w:id="138"/>
      <w:r/>
      <w:bookmarkEnd w:id="139"/>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（1）项目负责人具有生态环境工程系列（或环境保护系列）正高级工程师职称；</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（2）项目组成员5人具有生态环境工程系列（或环境保护系列）高级及以上职称，同时持有环境影响评价工程师职业资格证书的；</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注：以上须提供职称证书、职业资格证书，供应商为项目组成员缴纳的近半年任意1个月社保证明材料。</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（3）供应商具有环评工程师数量不低于20名，且在生态环境部环境影响评价信用平台注册（提供网站（https://xypt.china-eia.com/XYPT）查询截图）；</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（4）供应商具有包含水和废水的检验检测机构资质能力（提供在有效期内的证书</w:t>
      </w:r>
      <w:bookmarkStart w:id="140" w:name="OLE_LINK130"/>
      <w:r>
        <w:rPr>
          <w:rFonts w:hint="eastAsia" w:ascii="仿宋" w:hAnsi="仿宋" w:eastAsia="仿宋"/>
          <w:color w:val="auto"/>
          <w:sz w:val="24"/>
          <w:szCs w:val="19"/>
          <w:highlight w:val="none"/>
          <w:lang w:val="zh-CN"/>
        </w:rPr>
        <w:t xml:space="preserve">彩色扫描件</w:t>
      </w:r>
      <w:bookmarkEnd w:id="140"/>
      <w:r>
        <w:rPr>
          <w:rFonts w:hint="eastAsia" w:ascii="仿宋" w:hAnsi="仿宋" w:eastAsia="仿宋"/>
          <w:color w:val="auto"/>
          <w:sz w:val="24"/>
          <w:szCs w:val="19"/>
          <w:highlight w:val="none"/>
          <w:lang w:val="zh-CN"/>
        </w:rPr>
        <w:t xml:space="preserve">和检验检测能力范围附表）。</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（5）供应商具有省级或国家部委（工业和信息化厅/部、省生态环境厅/部、省水利厅/部等）生态健康类重点实验室的（提供证书或证明）。</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49.7其他要求</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49.7.1为保证摸排工作的严肃性和保密性，投标人应承诺在承担项目期间，做好保密工作。相关人员在接受任务后，不得向他人透漏相关消息。</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49.7.2验收标准：</w:t>
      </w:r>
      <w:bookmarkStart w:id="141" w:name="OLE_LINK127"/>
      <w:r/>
      <w:bookmarkStart w:id="142" w:name="OLE_LINK126"/>
      <w:r>
        <w:rPr>
          <w:rFonts w:hint="eastAsia" w:ascii="仿宋" w:hAnsi="仿宋" w:eastAsia="仿宋"/>
          <w:color w:val="auto"/>
          <w:sz w:val="24"/>
          <w:szCs w:val="19"/>
          <w:highlight w:val="none"/>
          <w:lang w:val="zh-CN"/>
        </w:rPr>
        <w:t xml:space="preserve">根据采购文件、中标单位的响应文件、双方签订的合同文件及其附件、国家的相关规定，由采购方及相关部门进行验收通过。</w:t>
      </w:r>
      <w:bookmarkEnd w:id="141"/>
      <w:r/>
      <w:bookmarkEnd w:id="142"/>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49.7.3属于保密范围内的文件资料，未经采购方同意，均应保密，不得向外扩散。</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49.7.4项目成果最终所有权属采购单位，在项目完成时中标方必须全部移交。</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49.7.5中标方须维护项目服务成果，不得转让给第三方重复使用。</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49.7.6以上保密规定如有违反，采购单位有权追究中标方相关法律责任。</w:t>
      </w:r>
      <w:r/>
    </w:p>
    <w:p>
      <w:pPr>
        <w:ind w:firstLine="480"/>
        <w:jc w:val="left"/>
        <w:spacing w:line="300" w:lineRule="auto"/>
        <w:rPr>
          <w:rFonts w:ascii="仿宋" w:hAnsi="仿宋" w:eastAsia="仿宋" w:cs="仿宋"/>
          <w:b/>
          <w:bCs/>
          <w:color w:val="auto"/>
          <w:sz w:val="24"/>
          <w:highlight w:val="none"/>
          <w:lang w:val="zh-CN"/>
        </w:rPr>
      </w:pPr>
      <w:r>
        <w:rPr>
          <w:rFonts w:hint="eastAsia" w:ascii="仿宋" w:hAnsi="仿宋" w:eastAsia="仿宋"/>
          <w:color w:val="auto"/>
          <w:sz w:val="24"/>
          <w:highlight w:val="none"/>
          <w:lang w:val="zh-CN"/>
        </w:rPr>
        <w:t xml:space="preserve">49.7.7凡涉及招标文件的补充说明和修改，均以招标代理机构书面通知为准。</w:t>
      </w:r>
      <w:r/>
    </w:p>
    <w:p>
      <w:pPr>
        <w:pStyle w:val="901"/>
        <w:rPr>
          <w:color w:val="auto"/>
          <w:highlight w:val="none"/>
        </w:rPr>
      </w:pPr>
      <w:r>
        <w:rPr>
          <w:color w:val="auto"/>
          <w:highlight w:val="none"/>
        </w:rPr>
      </w:r>
      <w:r/>
    </w:p>
    <w:p>
      <w:pPr>
        <w:jc w:val="center"/>
        <w:spacing w:line="300" w:lineRule="auto"/>
        <w:rPr>
          <w:rFonts w:ascii="仿宋" w:hAnsi="仿宋" w:eastAsia="仿宋" w:cs="仿宋"/>
          <w:color w:val="auto"/>
          <w:sz w:val="24"/>
          <w:highlight w:val="none"/>
          <w:lang w:val="zh-CN"/>
        </w:rPr>
      </w:pPr>
      <w:r>
        <w:rPr>
          <w:rFonts w:hint="eastAsia" w:ascii="仿宋" w:hAnsi="仿宋" w:eastAsia="仿宋" w:cs="仿宋"/>
          <w:b/>
          <w:bCs/>
          <w:color w:val="auto"/>
          <w:sz w:val="28"/>
          <w:szCs w:val="28"/>
          <w:highlight w:val="none"/>
        </w:rPr>
        <w:t xml:space="preserve">第十二章  评标办法（综合评分法）</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50</w:t>
      </w:r>
      <w:r>
        <w:rPr>
          <w:rFonts w:hint="eastAsia" w:ascii="仿宋" w:hAnsi="仿宋" w:eastAsia="仿宋" w:cs="仿宋"/>
          <w:b/>
          <w:bCs/>
          <w:color w:val="auto"/>
          <w:sz w:val="28"/>
          <w:szCs w:val="28"/>
          <w:highlight w:val="none"/>
          <w:lang w:val="zh-CN"/>
        </w:rPr>
        <w:t xml:space="preserve">.相关要求</w:t>
      </w:r>
      <w:r/>
    </w:p>
    <w:p>
      <w:pPr>
        <w:pStyle w:val="110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.1当供应商未提供符合招标文件规定的技术支持资料时，其技术部分得0分。</w:t>
      </w:r>
      <w:r/>
    </w:p>
    <w:p>
      <w:pPr>
        <w:pStyle w:val="1103"/>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.2技术汇总得分的计算方法：取所有评标委员会成员技术得分的算术平均值。</w:t>
      </w:r>
      <w:r/>
    </w:p>
    <w:p>
      <w:pPr>
        <w:pStyle w:val="110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.3“同类项目”是指供应商已经完成的与本次采购要求相同或者同类的服务，并且签订合同一方必须是供应商，以相同或者类同部分的合同金额为准。</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w:t>
      </w:r>
      <w:bookmarkStart w:id="143" w:name="OLE_LINK102"/>
      <w:r>
        <w:rPr>
          <w:rFonts w:hint="eastAsia" w:ascii="仿宋" w:hAnsi="仿宋" w:eastAsia="仿宋"/>
          <w:color w:val="auto"/>
          <w:sz w:val="24"/>
          <w:highlight w:val="none"/>
        </w:rPr>
        <w:t xml:space="preserve">根据《关于推动解决政府采购异常低价问题相关工作的问题》（苏财购〔2025〕62号）、《关于推动解决政府采购异常低价问题的通知》（</w:t>
      </w:r>
      <w:bookmarkStart w:id="144" w:name="OLE_LINK51"/>
      <w:r/>
      <w:bookmarkStart w:id="145" w:name="OLE_LINK50"/>
      <w:r>
        <w:rPr>
          <w:rFonts w:hint="eastAsia" w:ascii="仿宋" w:hAnsi="仿宋" w:eastAsia="仿宋"/>
          <w:color w:val="auto"/>
          <w:sz w:val="24"/>
          <w:highlight w:val="none"/>
        </w:rPr>
        <w:t xml:space="preserve">财库〔2026〕2号</w:t>
      </w:r>
      <w:bookmarkEnd w:id="144"/>
      <w:r/>
      <w:bookmarkEnd w:id="145"/>
      <w:r>
        <w:rPr>
          <w:rFonts w:hint="eastAsia" w:ascii="仿宋" w:hAnsi="仿宋" w:eastAsia="仿宋"/>
          <w:color w:val="auto"/>
          <w:sz w:val="24"/>
          <w:highlight w:val="none"/>
        </w:rPr>
        <w:t xml:space="preserve">）规定，财库〔2026〕2号第2条第4项规定，启动异常低价投标（响应）审查的数值标准可提最至65%，政府采购评审中出现下列情形之一的，评审委员会应当启动异常低价投标（响应）审查程序：1.投标（响应）报价低于全部通过符合性审查供应商投标（响应）报价平均值65%的，即投标（响应）报价</w:t>
      </w:r>
      <w:bookmarkStart w:id="146" w:name="OLE_LINK75"/>
      <w:r/>
      <w:bookmarkStart w:id="147" w:name="OLE_LINK76"/>
      <w:r>
        <w:rPr>
          <w:rFonts w:ascii="仿宋" w:hAnsi="仿宋" w:eastAsia="仿宋"/>
          <w:color w:val="auto"/>
          <w:sz w:val="24"/>
          <w:highlight w:val="none"/>
        </w:rPr>
        <w:t xml:space="preserve">〈</w:t>
      </w:r>
      <w:bookmarkEnd w:id="146"/>
      <w:r/>
      <w:bookmarkEnd w:id="147"/>
      <w:r>
        <w:rPr>
          <w:rFonts w:hint="eastAsia" w:ascii="仿宋" w:hAnsi="仿宋" w:eastAsia="仿宋"/>
          <w:color w:val="auto"/>
          <w:sz w:val="24"/>
          <w:highlight w:val="none"/>
        </w:rPr>
        <w:t xml:space="preserve">全部通过符合性审查供应商投标（响应）报价</w:t>
      </w:r>
      <w:bookmarkStart w:id="148" w:name="OLE_LINK74"/>
      <w:r>
        <w:rPr>
          <w:rFonts w:ascii="仿宋" w:hAnsi="仿宋" w:eastAsia="仿宋"/>
          <w:color w:val="auto"/>
          <w:sz w:val="24"/>
          <w:highlight w:val="none"/>
        </w:rPr>
        <w:t xml:space="preserve">〉</w:t>
      </w:r>
      <w:bookmarkEnd w:id="148"/>
      <w:r>
        <w:rPr>
          <w:rFonts w:hint="eastAsia" w:ascii="仿宋" w:hAnsi="仿宋" w:eastAsia="仿宋"/>
          <w:color w:val="auto"/>
          <w:sz w:val="24"/>
          <w:highlight w:val="none"/>
        </w:rPr>
        <w:t xml:space="preserve">平均值×65%；2.投标（响应）报价低于通过符合性审查的次低报价供应商投标（响应）报价65%的，即投标（响应）报价〈通过符合性审查的次低报价供应商投标（响应）报价</w:t>
      </w:r>
      <w:bookmarkStart w:id="149" w:name="OLE_LINK77"/>
      <w:r/>
      <w:bookmarkStart w:id="150" w:name="OLE_LINK78"/>
      <w:r>
        <w:rPr>
          <w:rFonts w:ascii="仿宋" w:hAnsi="仿宋" w:eastAsia="仿宋"/>
          <w:color w:val="auto"/>
          <w:sz w:val="24"/>
          <w:highlight w:val="none"/>
        </w:rPr>
        <w:t xml:space="preserve">〉</w:t>
      </w:r>
      <w:bookmarkEnd w:id="149"/>
      <w:r/>
      <w:bookmarkEnd w:id="150"/>
      <w:r>
        <w:rPr>
          <w:rFonts w:hint="eastAsia" w:ascii="仿宋" w:hAnsi="仿宋" w:eastAsia="仿宋"/>
          <w:color w:val="auto"/>
          <w:sz w:val="24"/>
          <w:highlight w:val="none"/>
        </w:rPr>
        <w:t xml:space="preserve">×65%；3.投标（响应）报价低于采购项目最高限价65%的，即投标（响应）报价采购项目最高限价×65%，4.评审委员会基于专业判断，认为供应商报价过低，有可能影响产品质量或者不能诚信履约的其他情形。</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提交，超时不予接收并视同放弃证明。其中，属于第3项情形，供应商已随投标（响应）文件一并提交相关书面说明及必要的证明材料的，在评审现场可不再重复提交。</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50.4.2评审委员会依据专业经验，参考同类项目中标（成交）价格、类似产品市场价格水平、行业人工费用标准、国家有关部门指导行业协会发布的行业平均成本等情况，对</w:t>
      </w:r>
      <w:r>
        <w:rPr>
          <w:rFonts w:hint="eastAsia" w:ascii="仿宋" w:hAnsi="仿宋" w:eastAsia="仿宋"/>
          <w:color w:val="auto"/>
          <w:sz w:val="24"/>
          <w:highlight w:val="none"/>
        </w:rPr>
        <w:t xml:space="preserve">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异常低价投标（响应）审查的启动原因、审查意见和审查结果应当在评审报告中记录，并随供应商提供的相关书面说明及证明材料，以及评审委员会有关互联网浏览、查询历史一并归档。</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50.4.3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50.5</w:t>
      </w:r>
      <w:r>
        <w:rPr>
          <w:rFonts w:hint="eastAsia" w:ascii="仿宋" w:hAnsi="仿宋" w:eastAsia="仿宋"/>
          <w:color w:val="auto"/>
          <w:sz w:val="24"/>
          <w:highlight w:val="none"/>
          <w:lang w:val="zh-CN"/>
        </w:rPr>
        <w:t xml:space="preserve">本项目采用综合评分法，总分100分，以得分最高的投标人作为本项目的中标候选人。</w:t>
      </w:r>
      <w:bookmarkEnd w:id="143"/>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51</w:t>
      </w:r>
      <w:r>
        <w:rPr>
          <w:rFonts w:hint="eastAsia" w:ascii="仿宋" w:hAnsi="仿宋" w:eastAsia="仿宋" w:cs="仿宋"/>
          <w:b/>
          <w:bCs/>
          <w:color w:val="auto"/>
          <w:sz w:val="28"/>
          <w:szCs w:val="28"/>
          <w:highlight w:val="none"/>
          <w:lang w:val="zh-CN"/>
        </w:rPr>
        <w:t xml:space="preserve">.评分标准分项明细表</w:t>
      </w:r>
      <w:r/>
    </w:p>
    <w:p>
      <w:pPr>
        <w:ind w:left="447" w:hanging="88"/>
        <w:jc w:val="left"/>
        <w:spacing w:line="300" w:lineRule="auto"/>
        <w:tabs>
          <w:tab w:val="left" w:pos="648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51</w:t>
      </w:r>
      <w:r>
        <w:rPr>
          <w:rFonts w:hint="eastAsia" w:ascii="仿宋" w:hAnsi="仿宋" w:eastAsia="仿宋" w:cs="仿宋"/>
          <w:color w:val="auto"/>
          <w:sz w:val="24"/>
          <w:highlight w:val="none"/>
          <w:lang w:val="zh-CN"/>
        </w:rPr>
        <w:t xml:space="preserve">.1评分因素以及分值</w:t>
      </w:r>
      <w:r/>
    </w:p>
    <w:tbl>
      <w:tblPr>
        <w:tblStyle w:val="896"/>
        <w:tblW w:w="91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456"/>
        <w:gridCol w:w="771"/>
        <w:gridCol w:w="6938"/>
      </w:tblGrid>
      <w:tr>
        <w:trPr>
          <w:jc w:val="center"/>
          <w:trHeight w:val="441"/>
        </w:trPr>
        <w:tc>
          <w:tcPr>
            <w:tcW w:w="1456" w:type="dxa"/>
            <w:vAlign w:val="center"/>
            <w:textDirection w:val="lrTb"/>
            <w:noWrap/>
          </w:tcPr>
          <w:p>
            <w:pPr>
              <w:jc w:val="center"/>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评审项目</w:t>
            </w:r>
            <w:r/>
          </w:p>
        </w:tc>
        <w:tc>
          <w:tcPr>
            <w:tcW w:w="771" w:type="dxa"/>
            <w:vAlign w:val="center"/>
            <w:textDirection w:val="lrTb"/>
            <w:noWrap/>
          </w:tcPr>
          <w:p>
            <w:pPr>
              <w:jc w:val="center"/>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分数</w:t>
            </w:r>
            <w:r/>
          </w:p>
        </w:tc>
        <w:tc>
          <w:tcPr>
            <w:tcW w:w="6938" w:type="dxa"/>
            <w:vAlign w:val="center"/>
            <w:textDirection w:val="lrTb"/>
            <w:noWrap/>
          </w:tcPr>
          <w:p>
            <w:pPr>
              <w:jc w:val="center"/>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评分标准</w:t>
            </w:r>
            <w:r/>
          </w:p>
        </w:tc>
      </w:tr>
      <w:tr>
        <w:trPr>
          <w:jc w:val="center"/>
        </w:trPr>
        <w:tc>
          <w:tcPr>
            <w:tcW w:w="1456" w:type="dxa"/>
            <w:vAlign w:val="center"/>
            <w:textDirection w:val="lrTb"/>
            <w:noWrap/>
          </w:tcPr>
          <w:p>
            <w:pPr>
              <w:ind w:left="1049" w:right="-130" w:hanging="1225"/>
              <w:jc w:val="center"/>
              <w:tabs>
                <w:tab w:val="left" w:pos="648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磋商报价</w:t>
            </w:r>
            <w:r/>
          </w:p>
        </w:tc>
        <w:tc>
          <w:tcPr>
            <w:tcW w:w="771" w:type="dxa"/>
            <w:vAlign w:val="center"/>
            <w:textDirection w:val="lrTb"/>
            <w:noWrap/>
          </w:tcPr>
          <w:p>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15</w:t>
            </w:r>
            <w:r/>
          </w:p>
        </w:tc>
        <w:tc>
          <w:tcPr>
            <w:tcW w:w="6938"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满足磋商文件要求且磋商价格（或者最后磋商报价）最低的磋商报价为磋商基准价，其价格分为满分。</w:t>
            </w:r>
            <w:r/>
          </w:p>
          <w:p>
            <w:pPr>
              <w:rPr>
                <w:rFonts w:ascii="仿宋" w:hAnsi="仿宋" w:eastAsia="仿宋" w:cs="仿宋"/>
                <w:color w:val="auto"/>
                <w:sz w:val="24"/>
                <w:highlight w:val="none"/>
                <w:u w:val="single"/>
              </w:rPr>
            </w:pPr>
            <w:r>
              <w:rPr>
                <w:rFonts w:hint="eastAsia" w:ascii="仿宋" w:hAnsi="仿宋" w:eastAsia="仿宋" w:cs="仿宋"/>
                <w:color w:val="auto"/>
                <w:sz w:val="24"/>
                <w:highlight w:val="none"/>
                <w:lang w:val="zh-CN"/>
              </w:rPr>
              <w:t xml:space="preserve">其它磋商报价得分＝磋商基准价</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（磋商报价或者最后磋商报价）×</w:t>
            </w:r>
            <w:r>
              <w:rPr>
                <w:rFonts w:hint="eastAsia" w:ascii="仿宋" w:hAnsi="仿宋" w:eastAsia="仿宋" w:cs="仿宋"/>
                <w:color w:val="auto"/>
                <w:sz w:val="24"/>
                <w:highlight w:val="none"/>
                <w:u w:val="single"/>
              </w:rPr>
              <w:t xml:space="preserve">15</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超出采购预算价的磋商报价为无效报价。</w:t>
            </w:r>
            <w:r/>
          </w:p>
        </w:tc>
      </w:tr>
      <w:tr>
        <w:trPr>
          <w:jc w:val="center"/>
          <w:trHeight w:val="55"/>
        </w:trPr>
        <w:tc>
          <w:tcPr>
            <w:tcW w:w="1456" w:type="dxa"/>
            <w:vAlign w:val="center"/>
            <w:textDirection w:val="lrTb"/>
            <w:noWrap/>
          </w:tcPr>
          <w:p>
            <w:pPr>
              <w:pStyle w:val="1103"/>
              <w:ind w:left="1049" w:right="-62" w:hanging="1156"/>
              <w:jc w:val="center"/>
              <w:tabs>
                <w:tab w:val="left" w:pos="648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类似业绩</w:t>
            </w:r>
            <w:r/>
          </w:p>
        </w:tc>
        <w:tc>
          <w:tcPr>
            <w:tcW w:w="771" w:type="dxa"/>
            <w:vAlign w:val="center"/>
            <w:textDirection w:val="lrTb"/>
            <w:noWrap/>
          </w:tcPr>
          <w:p>
            <w:pPr>
              <w:pStyle w:val="1103"/>
              <w:jc w:val="center"/>
              <w:rPr>
                <w:rFonts w:ascii="仿宋" w:hAnsi="仿宋" w:eastAsia="仿宋"/>
                <w:color w:val="auto"/>
                <w:sz w:val="24"/>
                <w:highlight w:val="none"/>
              </w:rPr>
            </w:pPr>
            <w:r>
              <w:rPr>
                <w:rFonts w:hint="eastAsia" w:ascii="仿宋" w:hAnsi="仿宋" w:eastAsia="仿宋"/>
                <w:color w:val="auto"/>
                <w:sz w:val="24"/>
                <w:highlight w:val="none"/>
              </w:rPr>
              <w:t xml:space="preserve">15</w:t>
            </w:r>
            <w:r/>
          </w:p>
        </w:tc>
        <w:tc>
          <w:tcPr>
            <w:tcW w:w="6938" w:type="dxa"/>
            <w:vAlign w:val="center"/>
            <w:textDirection w:val="lrTb"/>
            <w:noWrap/>
          </w:tcPr>
          <w:p>
            <w:pPr>
              <w:spacing w:line="360" w:lineRule="exact"/>
              <w:rPr>
                <w:rFonts w:ascii="仿宋" w:hAnsi="仿宋" w:eastAsia="仿宋"/>
                <w:color w:val="auto"/>
                <w:sz w:val="24"/>
                <w:szCs w:val="19"/>
                <w:highlight w:val="none"/>
                <w:lang w:val="zh-CN"/>
              </w:rPr>
            </w:pPr>
            <w:r>
              <w:rPr>
                <w:rFonts w:hint="eastAsia" w:ascii="仿宋" w:hAnsi="仿宋" w:eastAsia="仿宋" w:cs="仿宋"/>
                <w:color w:val="auto"/>
                <w:sz w:val="24"/>
                <w:highlight w:val="none"/>
                <w:lang w:val="zh-CN"/>
              </w:rPr>
              <w:t xml:space="preserve">近3年（自2023年1月1日以来）至少承担过类似业绩[具体范围：</w:t>
            </w:r>
            <w:r>
              <w:rPr>
                <w:rFonts w:ascii="仿宋" w:hAnsi="仿宋" w:eastAsia="仿宋"/>
                <w:color w:val="auto"/>
                <w:sz w:val="24"/>
                <w:szCs w:val="19"/>
                <w:highlight w:val="none"/>
                <w:lang w:val="zh-CN"/>
              </w:rPr>
              <w:t xml:space="preserve">河湖水生态调查评估</w:t>
            </w:r>
            <w:r>
              <w:rPr>
                <w:rFonts w:hint="eastAsia" w:ascii="仿宋" w:hAnsi="仿宋" w:eastAsia="仿宋"/>
                <w:color w:val="auto"/>
                <w:sz w:val="24"/>
                <w:szCs w:val="19"/>
                <w:highlight w:val="none"/>
                <w:lang w:val="zh-CN"/>
              </w:rPr>
              <w:t xml:space="preserve">工作，或美丽河湖建设资金申报工作，或</w:t>
            </w:r>
            <w:r>
              <w:rPr>
                <w:rFonts w:hint="eastAsia" w:ascii="仿宋" w:hAnsi="仿宋" w:eastAsia="仿宋" w:cs="仿宋"/>
                <w:color w:val="auto"/>
                <w:sz w:val="24"/>
                <w:highlight w:val="none"/>
                <w:lang w:val="zh-CN"/>
              </w:rPr>
              <w:t xml:space="preserve">美丽河湖/幸福河湖/生态河湖保护与建设实施方案编制，或</w:t>
            </w:r>
            <w:r>
              <w:rPr>
                <w:rFonts w:hint="eastAsia" w:ascii="仿宋" w:hAnsi="仿宋" w:eastAsia="仿宋"/>
                <w:color w:val="auto"/>
                <w:sz w:val="24"/>
                <w:szCs w:val="19"/>
                <w:highlight w:val="none"/>
                <w:lang w:val="zh-CN"/>
              </w:rPr>
              <w:t xml:space="preserve">河湖/流域水生态修复可行性研究编制工作，</w:t>
            </w:r>
            <w:r>
              <w:rPr>
                <w:rFonts w:hint="eastAsia" w:ascii="仿宋" w:hAnsi="仿宋" w:eastAsia="仿宋" w:cs="仿宋"/>
                <w:color w:val="auto"/>
                <w:sz w:val="24"/>
                <w:highlight w:val="none"/>
                <w:lang w:val="zh-CN"/>
              </w:rPr>
              <w:t xml:space="preserve">或美丽河湖创建工作]，每提供1个业绩得3分，最高得15分。须提供合同扫描件并加盖电子公章，时间以合同签订时间为准；未提供或提供不全或模糊且评委无法识别或其他不利评审条件的，不得分。</w:t>
            </w:r>
            <w:r/>
          </w:p>
        </w:tc>
      </w:tr>
      <w:tr>
        <w:trPr>
          <w:jc w:val="center"/>
          <w:trHeight w:val="57"/>
        </w:trPr>
        <w:tc>
          <w:tcPr>
            <w:tcW w:w="1456" w:type="dxa"/>
            <w:vAlign w:val="center"/>
            <w:textDirection w:val="lrTb"/>
            <w:noWrap/>
          </w:tcPr>
          <w:p>
            <w:pPr>
              <w:pStyle w:val="1103"/>
              <w:ind w:left="-53" w:right="-62"/>
              <w:jc w:val="center"/>
              <w:tabs>
                <w:tab w:val="left" w:pos="648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技术响应</w:t>
            </w:r>
            <w:r/>
          </w:p>
        </w:tc>
        <w:tc>
          <w:tcPr>
            <w:tcW w:w="771" w:type="dxa"/>
            <w:vAlign w:val="center"/>
            <w:textDirection w:val="lrTb"/>
            <w:noWrap/>
          </w:tcPr>
          <w:p>
            <w:pPr>
              <w:pStyle w:val="1103"/>
              <w:jc w:val="center"/>
              <w:rPr>
                <w:rFonts w:ascii="仿宋" w:hAnsi="仿宋" w:eastAsia="仿宋"/>
                <w:color w:val="auto"/>
                <w:sz w:val="24"/>
                <w:highlight w:val="none"/>
              </w:rPr>
            </w:pPr>
            <w:r>
              <w:rPr>
                <w:rFonts w:hint="eastAsia" w:ascii="仿宋" w:hAnsi="仿宋" w:eastAsia="仿宋"/>
                <w:color w:val="auto"/>
                <w:sz w:val="24"/>
                <w:highlight w:val="none"/>
              </w:rPr>
              <w:t xml:space="preserve">20</w:t>
            </w:r>
            <w:r/>
          </w:p>
        </w:tc>
        <w:tc>
          <w:tcPr>
            <w:tcW w:w="6938" w:type="dxa"/>
            <w:vAlign w:val="center"/>
            <w:textDirection w:val="lrTb"/>
            <w:noWrap/>
          </w:tcPr>
          <w:p>
            <w:pPr>
              <w:pStyle w:val="906"/>
              <w:spacing w:line="360" w:lineRule="exact"/>
              <w:rPr>
                <w:rFonts w:ascii="Times New Roman" w:hAnsi="Times New Roman" w:eastAsia="仿宋"/>
                <w:bCs/>
                <w:color w:val="auto"/>
                <w:szCs w:val="24"/>
                <w:highlight w:val="none"/>
              </w:rPr>
            </w:pPr>
            <w:r>
              <w:rPr>
                <w:rFonts w:hint="eastAsia" w:ascii="仿宋" w:hAnsi="仿宋" w:eastAsia="仿宋"/>
                <w:color w:val="auto"/>
                <w:szCs w:val="19"/>
                <w:highlight w:val="none"/>
                <w:lang w:val="zh-CN"/>
              </w:rPr>
              <w:t xml:space="preserve">采购需求第49.6条专业人员和设备响应，</w:t>
            </w:r>
            <w:r>
              <w:rPr>
                <w:rFonts w:hint="eastAsia" w:ascii="Times New Roman" w:hAnsi="Times New Roman" w:eastAsia="仿宋"/>
                <w:bCs/>
                <w:color w:val="auto"/>
                <w:szCs w:val="24"/>
                <w:highlight w:val="none"/>
              </w:rPr>
              <w:t xml:space="preserve">全部符合采购需求得20分，每负偏离一项扣4分。</w:t>
            </w:r>
            <w:r>
              <w:rPr>
                <w:rFonts w:hint="eastAsia" w:ascii="仿宋" w:hAnsi="仿宋" w:eastAsia="仿宋"/>
                <w:color w:val="auto"/>
                <w:szCs w:val="19"/>
                <w:highlight w:val="none"/>
                <w:lang w:val="zh-CN"/>
              </w:rPr>
              <w:t xml:space="preserve">须根据采购文件对应条款规定提供证明材料扫描件，没有或未提供的不得分。</w:t>
            </w:r>
            <w:r/>
          </w:p>
        </w:tc>
      </w:tr>
      <w:tr>
        <w:trPr>
          <w:jc w:val="center"/>
          <w:trHeight w:val="420"/>
        </w:trPr>
        <w:tc>
          <w:tcPr>
            <w:tcW w:w="1456" w:type="dxa"/>
            <w:vAlign w:val="center"/>
            <w:textDirection w:val="lrTb"/>
            <w:noWrap/>
          </w:tcPr>
          <w:p>
            <w:pPr>
              <w:ind w:right="-62"/>
              <w:jc w:val="center"/>
              <w:rPr>
                <w:rFonts w:ascii="仿宋" w:hAnsi="仿宋" w:eastAsia="仿宋"/>
                <w:color w:val="auto"/>
                <w:sz w:val="24"/>
                <w:highlight w:val="none"/>
              </w:rPr>
            </w:pPr>
            <w:r>
              <w:rPr>
                <w:rFonts w:hint="eastAsia" w:ascii="仿宋" w:hAnsi="仿宋" w:eastAsia="仿宋"/>
                <w:color w:val="auto"/>
                <w:sz w:val="24"/>
                <w:highlight w:val="none"/>
              </w:rPr>
              <w:t xml:space="preserve">服务</w:t>
            </w:r>
            <w:r>
              <w:rPr>
                <w:rFonts w:ascii="仿宋" w:hAnsi="仿宋" w:eastAsia="仿宋"/>
                <w:color w:val="auto"/>
                <w:sz w:val="24"/>
                <w:highlight w:val="none"/>
              </w:rPr>
              <w:t xml:space="preserve">方案</w:t>
            </w:r>
            <w:r/>
          </w:p>
        </w:tc>
        <w:tc>
          <w:tcPr>
            <w:tcW w:w="771" w:type="dxa"/>
            <w:vAlign w:val="center"/>
            <w:textDirection w:val="lrTb"/>
            <w:noWrap/>
          </w:tcPr>
          <w:p>
            <w:pPr>
              <w:jc w:val="center"/>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40</w:t>
            </w:r>
            <w:r/>
          </w:p>
        </w:tc>
        <w:tc>
          <w:tcPr>
            <w:tcW w:w="6938" w:type="dxa"/>
            <w:vAlign w:val="center"/>
            <w:textDirection w:val="lrTb"/>
            <w:noWrap/>
          </w:tcPr>
          <w:p>
            <w:pPr>
              <w:spacing w:line="360" w:lineRule="exact"/>
              <w:rPr>
                <w:rFonts w:ascii="仿宋" w:hAnsi="仿宋" w:eastAsia="仿宋"/>
                <w:color w:val="auto"/>
                <w:sz w:val="24"/>
                <w:szCs w:val="19"/>
                <w:highlight w:val="none"/>
                <w:lang w:val="zh-CN"/>
              </w:rPr>
            </w:pPr>
            <w:r/>
            <w:bookmarkStart w:id="151" w:name="OLE_LINK183"/>
            <w:r/>
            <w:bookmarkStart w:id="152" w:name="OLE_LINK184"/>
            <w:r>
              <w:rPr>
                <w:rFonts w:ascii="仿宋" w:hAnsi="仿宋" w:eastAsia="仿宋"/>
                <w:color w:val="auto"/>
                <w:sz w:val="24"/>
                <w:szCs w:val="19"/>
                <w:highlight w:val="none"/>
                <w:lang w:val="zh-CN"/>
              </w:rPr>
              <w:t xml:space="preserve">供应商须提供美丽河湖水生态调查评估服务</w:t>
            </w:r>
            <w:r>
              <w:rPr>
                <w:rFonts w:hint="eastAsia" w:ascii="仿宋" w:hAnsi="仿宋" w:eastAsia="仿宋"/>
                <w:color w:val="auto"/>
                <w:sz w:val="24"/>
                <w:szCs w:val="19"/>
                <w:highlight w:val="none"/>
                <w:lang w:val="zh-CN"/>
              </w:rPr>
              <w:t xml:space="preserve">项目的</w:t>
            </w:r>
            <w:bookmarkEnd w:id="151"/>
            <w:r/>
            <w:bookmarkEnd w:id="152"/>
            <w:r>
              <w:rPr>
                <w:rFonts w:hint="eastAsia" w:ascii="仿宋" w:hAnsi="仿宋" w:eastAsia="仿宋"/>
                <w:color w:val="auto"/>
                <w:sz w:val="24"/>
                <w:szCs w:val="19"/>
                <w:highlight w:val="none"/>
                <w:lang w:val="zh-CN"/>
              </w:rPr>
              <w:t xml:space="preserve">方案，具体包含</w:t>
            </w:r>
            <w:bookmarkStart w:id="153" w:name="OLE_LINK185"/>
            <w:r/>
            <w:bookmarkStart w:id="154" w:name="OLE_LINK186"/>
            <w:r>
              <w:rPr>
                <w:rFonts w:hint="eastAsia" w:ascii="仿宋" w:hAnsi="仿宋" w:eastAsia="仿宋"/>
                <w:color w:val="auto"/>
                <w:sz w:val="24"/>
                <w:szCs w:val="19"/>
                <w:highlight w:val="none"/>
                <w:lang w:val="zh-CN"/>
              </w:rPr>
              <w:t xml:space="preserve">以下三项，一、项目理解：①</w:t>
            </w:r>
            <w:bookmarkEnd w:id="153"/>
            <w:r/>
            <w:bookmarkEnd w:id="154"/>
            <w:r>
              <w:rPr>
                <w:rFonts w:ascii="仿宋" w:hAnsi="仿宋" w:eastAsia="仿宋"/>
                <w:color w:val="auto"/>
                <w:sz w:val="24"/>
                <w:szCs w:val="19"/>
                <w:highlight w:val="none"/>
                <w:lang w:val="zh-CN"/>
              </w:rPr>
              <w:t xml:space="preserve">项目概况</w:t>
            </w:r>
            <w:bookmarkStart w:id="155" w:name="OLE_LINK187"/>
            <w:r>
              <w:rPr>
                <w:rFonts w:ascii="仿宋" w:hAnsi="仿宋" w:eastAsia="仿宋"/>
                <w:color w:val="auto"/>
                <w:sz w:val="24"/>
                <w:szCs w:val="19"/>
                <w:highlight w:val="none"/>
                <w:lang w:val="zh-CN"/>
              </w:rPr>
              <w:t xml:space="preserve">，</w:t>
            </w:r>
            <w:r>
              <w:rPr>
                <w:rFonts w:hint="eastAsia" w:ascii="仿宋" w:hAnsi="仿宋" w:eastAsia="仿宋"/>
                <w:color w:val="auto"/>
                <w:sz w:val="24"/>
                <w:szCs w:val="19"/>
                <w:highlight w:val="none"/>
                <w:lang w:val="zh-CN"/>
              </w:rPr>
              <w:t xml:space="preserve">②</w:t>
            </w:r>
            <w:bookmarkEnd w:id="155"/>
            <w:r>
              <w:rPr>
                <w:rFonts w:hint="eastAsia" w:ascii="仿宋" w:hAnsi="仿宋" w:eastAsia="仿宋"/>
                <w:color w:val="auto"/>
                <w:sz w:val="24"/>
                <w:szCs w:val="19"/>
                <w:highlight w:val="none"/>
                <w:lang w:val="zh-CN"/>
              </w:rPr>
              <w:t xml:space="preserve">项目背景分析</w:t>
            </w:r>
            <w:bookmarkStart w:id="156" w:name="OLE_LINK188"/>
            <w:r>
              <w:rPr>
                <w:rFonts w:hint="eastAsia" w:ascii="仿宋" w:hAnsi="仿宋" w:eastAsia="仿宋"/>
                <w:color w:val="auto"/>
                <w:sz w:val="24"/>
                <w:szCs w:val="19"/>
                <w:highlight w:val="none"/>
                <w:lang w:val="zh-CN"/>
              </w:rPr>
              <w:t xml:space="preserve">，③</w:t>
            </w:r>
            <w:bookmarkEnd w:id="156"/>
            <w:r>
              <w:rPr>
                <w:rFonts w:ascii="仿宋" w:hAnsi="仿宋" w:eastAsia="仿宋"/>
                <w:color w:val="auto"/>
                <w:sz w:val="24"/>
                <w:szCs w:val="19"/>
                <w:highlight w:val="none"/>
                <w:lang w:val="zh-CN"/>
              </w:rPr>
              <w:t xml:space="preserve">工作目标与工作原则，</w:t>
            </w:r>
            <w:bookmarkStart w:id="157" w:name="OLE_LINK189"/>
            <w:r/>
            <w:bookmarkStart w:id="158" w:name="OLE_LINK190"/>
            <w:r>
              <w:rPr>
                <w:rFonts w:hint="eastAsia" w:ascii="仿宋" w:hAnsi="仿宋" w:eastAsia="仿宋"/>
                <w:color w:val="auto"/>
                <w:sz w:val="24"/>
                <w:szCs w:val="19"/>
                <w:highlight w:val="none"/>
                <w:lang w:val="zh-CN"/>
              </w:rPr>
              <w:t xml:space="preserve">④</w:t>
            </w:r>
            <w:bookmarkEnd w:id="157"/>
            <w:r/>
            <w:bookmarkEnd w:id="158"/>
            <w:r>
              <w:rPr>
                <w:rFonts w:ascii="仿宋" w:hAnsi="仿宋" w:eastAsia="仿宋"/>
                <w:color w:val="auto"/>
                <w:sz w:val="24"/>
                <w:szCs w:val="19"/>
                <w:highlight w:val="none"/>
                <w:lang w:val="zh-CN"/>
              </w:rPr>
              <w:t xml:space="preserve">工作内容，</w:t>
            </w:r>
            <w:r>
              <w:rPr>
                <w:rFonts w:hint="eastAsia" w:ascii="仿宋" w:hAnsi="仿宋" w:eastAsia="仿宋"/>
                <w:color w:val="auto"/>
                <w:sz w:val="24"/>
                <w:szCs w:val="19"/>
                <w:highlight w:val="none"/>
                <w:lang w:val="zh-CN"/>
              </w:rPr>
              <w:t xml:space="preserve">⑤预期成果；二、项目技术方案：⑥总体思路，⑦</w:t>
            </w:r>
            <w:r>
              <w:rPr>
                <w:rFonts w:ascii="仿宋" w:hAnsi="仿宋" w:eastAsia="仿宋"/>
                <w:color w:val="auto"/>
                <w:sz w:val="24"/>
                <w:szCs w:val="19"/>
                <w:highlight w:val="none"/>
                <w:lang w:val="zh-CN"/>
              </w:rPr>
              <w:t xml:space="preserve">技术路线，</w:t>
            </w:r>
            <w:r>
              <w:rPr>
                <w:rFonts w:hint="eastAsia" w:ascii="仿宋" w:hAnsi="仿宋" w:eastAsia="仿宋"/>
                <w:color w:val="auto"/>
                <w:sz w:val="24"/>
                <w:szCs w:val="19"/>
                <w:highlight w:val="none"/>
                <w:lang w:val="zh-CN"/>
              </w:rPr>
              <w:t xml:space="preserve">⑧前期准备，⑨水生态调查内容，⑩水生态调查方式，</w:t>
            </w:r>
            <w:r>
              <w:rPr>
                <w:rFonts w:ascii="Cambria Math" w:hAnsi="Cambria Math" w:eastAsia="微软雅黑" w:cs="Cambria Math"/>
                <w:color w:val="auto"/>
                <w:sz w:val="22"/>
                <w:szCs w:val="22"/>
                <w:highlight w:val="none"/>
                <w:shd w:val="clear" w:color="auto" w:fill="ffffff"/>
              </w:rPr>
              <w:t xml:space="preserve">⑪</w:t>
            </w:r>
            <w:r>
              <w:rPr>
                <w:rFonts w:hint="eastAsia" w:ascii="仿宋" w:hAnsi="仿宋" w:eastAsia="仿宋"/>
                <w:color w:val="auto"/>
                <w:sz w:val="24"/>
                <w:szCs w:val="19"/>
                <w:highlight w:val="none"/>
                <w:lang w:val="zh-CN"/>
              </w:rPr>
              <w:t xml:space="preserve">美丽河湖综合评价</w:t>
            </w:r>
            <w:r>
              <w:rPr>
                <w:rFonts w:ascii="仿宋" w:hAnsi="仿宋" w:eastAsia="仿宋"/>
                <w:color w:val="auto"/>
                <w:sz w:val="24"/>
                <w:szCs w:val="19"/>
                <w:highlight w:val="none"/>
                <w:lang w:val="zh-CN"/>
              </w:rPr>
              <w:t xml:space="preserve">，</w:t>
            </w:r>
            <w:r>
              <w:rPr>
                <w:rFonts w:ascii="Cambria Math" w:hAnsi="Cambria Math" w:eastAsia="微软雅黑" w:cs="Cambria Math"/>
                <w:color w:val="auto"/>
                <w:sz w:val="22"/>
                <w:szCs w:val="22"/>
                <w:highlight w:val="none"/>
                <w:shd w:val="clear" w:color="auto" w:fill="ffffff"/>
              </w:rPr>
              <w:t xml:space="preserve">⑫</w:t>
            </w:r>
            <w:r>
              <w:rPr>
                <w:rFonts w:ascii="仿宋" w:hAnsi="仿宋" w:eastAsia="仿宋"/>
                <w:color w:val="auto"/>
                <w:sz w:val="24"/>
                <w:szCs w:val="19"/>
                <w:highlight w:val="none"/>
                <w:lang w:val="zh-CN"/>
              </w:rPr>
              <w:t xml:space="preserve">美丽河湖实施方案编制工作方案，</w:t>
            </w:r>
            <w:r>
              <w:rPr>
                <w:rFonts w:ascii="Cambria Math" w:hAnsi="Cambria Math" w:eastAsia="微软雅黑" w:cs="Cambria Math"/>
                <w:color w:val="auto"/>
                <w:sz w:val="22"/>
                <w:szCs w:val="22"/>
                <w:highlight w:val="none"/>
                <w:shd w:val="clear" w:color="auto" w:fill="ffffff"/>
              </w:rPr>
              <w:t xml:space="preserve">⑬</w:t>
            </w:r>
            <w:r>
              <w:rPr>
                <w:rFonts w:ascii="仿宋" w:hAnsi="仿宋" w:eastAsia="仿宋"/>
                <w:color w:val="auto"/>
                <w:sz w:val="24"/>
                <w:szCs w:val="19"/>
                <w:highlight w:val="none"/>
                <w:lang w:val="zh-CN"/>
              </w:rPr>
              <w:t xml:space="preserve">成效评估及创建工作方案，</w:t>
            </w:r>
            <w:r>
              <w:rPr>
                <w:rFonts w:ascii="Cambria Math" w:hAnsi="Cambria Math" w:eastAsia="微软雅黑" w:cs="Cambria Math"/>
                <w:color w:val="auto"/>
                <w:sz w:val="22"/>
                <w:szCs w:val="22"/>
                <w:highlight w:val="none"/>
                <w:shd w:val="clear" w:color="auto" w:fill="ffffff"/>
              </w:rPr>
              <w:t xml:space="preserve">⑭</w:t>
            </w:r>
            <w:r>
              <w:rPr>
                <w:rFonts w:hint="eastAsia" w:ascii="仿宋" w:hAnsi="仿宋" w:eastAsia="仿宋"/>
                <w:color w:val="auto"/>
                <w:sz w:val="24"/>
                <w:szCs w:val="19"/>
                <w:highlight w:val="none"/>
                <w:lang w:val="zh-CN"/>
              </w:rPr>
              <w:t xml:space="preserve">成果</w:t>
            </w:r>
            <w:r>
              <w:rPr>
                <w:rFonts w:ascii="仿宋" w:hAnsi="仿宋" w:eastAsia="仿宋"/>
                <w:color w:val="auto"/>
                <w:sz w:val="24"/>
                <w:szCs w:val="19"/>
                <w:highlight w:val="none"/>
                <w:lang w:val="zh-CN"/>
              </w:rPr>
              <w:t xml:space="preserve">提交内容；三、项目实施方案：</w:t>
            </w:r>
            <w:r>
              <w:rPr>
                <w:rFonts w:ascii="Cambria Math" w:hAnsi="Cambria Math" w:eastAsia="微软雅黑" w:cs="Cambria Math"/>
                <w:color w:val="auto"/>
                <w:sz w:val="22"/>
                <w:szCs w:val="22"/>
                <w:highlight w:val="none"/>
                <w:shd w:val="clear" w:color="auto" w:fill="ffffff"/>
              </w:rPr>
              <w:t xml:space="preserve">⑮</w:t>
            </w:r>
            <w:r>
              <w:rPr>
                <w:rFonts w:hint="eastAsia" w:ascii="仿宋" w:hAnsi="仿宋" w:eastAsia="仿宋"/>
                <w:color w:val="auto"/>
                <w:sz w:val="24"/>
                <w:szCs w:val="19"/>
                <w:highlight w:val="none"/>
                <w:lang w:val="zh-CN"/>
              </w:rPr>
              <w:t xml:space="preserve">实施</w:t>
            </w:r>
            <w:r>
              <w:rPr>
                <w:rFonts w:ascii="仿宋" w:hAnsi="仿宋" w:eastAsia="仿宋"/>
                <w:color w:val="auto"/>
                <w:sz w:val="24"/>
                <w:szCs w:val="19"/>
                <w:highlight w:val="none"/>
                <w:lang w:val="zh-CN"/>
              </w:rPr>
              <w:t xml:space="preserve">进度计划，</w:t>
            </w:r>
            <w:r>
              <w:rPr>
                <w:rFonts w:ascii="Cambria Math" w:hAnsi="Cambria Math" w:eastAsia="微软雅黑" w:cs="Cambria Math"/>
                <w:color w:val="auto"/>
                <w:sz w:val="22"/>
                <w:szCs w:val="22"/>
                <w:highlight w:val="none"/>
                <w:shd w:val="clear" w:color="auto" w:fill="ffffff"/>
              </w:rPr>
              <w:t xml:space="preserve">⑯</w:t>
            </w:r>
            <w:bookmarkStart w:id="159" w:name="OLE_LINK180"/>
            <w:r/>
            <w:bookmarkStart w:id="160" w:name="OLE_LINK181"/>
            <w:r>
              <w:rPr>
                <w:rFonts w:hint="eastAsia" w:ascii="仿宋" w:hAnsi="仿宋" w:eastAsia="仿宋"/>
                <w:color w:val="auto"/>
                <w:sz w:val="24"/>
                <w:szCs w:val="19"/>
                <w:highlight w:val="none"/>
                <w:lang w:val="zh-CN"/>
              </w:rPr>
              <w:t xml:space="preserve">项目</w:t>
            </w:r>
            <w:r>
              <w:rPr>
                <w:rFonts w:ascii="仿宋" w:hAnsi="仿宋" w:eastAsia="仿宋"/>
                <w:color w:val="auto"/>
                <w:sz w:val="24"/>
                <w:szCs w:val="19"/>
                <w:highlight w:val="none"/>
                <w:lang w:val="zh-CN"/>
              </w:rPr>
              <w:t xml:space="preserve">组织与人员配置，</w:t>
            </w:r>
            <w:bookmarkEnd w:id="159"/>
            <w:r/>
            <w:bookmarkEnd w:id="160"/>
            <w:r>
              <w:rPr>
                <w:rFonts w:ascii="Cambria Math" w:hAnsi="Cambria Math" w:eastAsia="微软雅黑" w:cs="Cambria Math"/>
                <w:color w:val="auto"/>
                <w:sz w:val="22"/>
                <w:szCs w:val="22"/>
                <w:highlight w:val="none"/>
                <w:shd w:val="clear" w:color="auto" w:fill="ffffff"/>
              </w:rPr>
              <w:t xml:space="preserve">⑰</w:t>
            </w:r>
            <w:r>
              <w:rPr>
                <w:rFonts w:ascii="仿宋" w:hAnsi="仿宋" w:eastAsia="仿宋"/>
                <w:color w:val="auto"/>
                <w:sz w:val="24"/>
                <w:szCs w:val="19"/>
                <w:highlight w:val="none"/>
              </w:rPr>
              <w:t xml:space="preserve">质量</w:t>
            </w:r>
            <w:r>
              <w:rPr>
                <w:rFonts w:ascii="仿宋" w:hAnsi="仿宋" w:eastAsia="仿宋"/>
                <w:color w:val="auto"/>
                <w:sz w:val="24"/>
                <w:szCs w:val="19"/>
                <w:highlight w:val="none"/>
                <w:lang w:val="zh-CN"/>
              </w:rPr>
              <w:t xml:space="preserve">措施，</w:t>
            </w:r>
            <w:r>
              <w:rPr>
                <w:rFonts w:ascii="Cambria Math" w:hAnsi="Cambria Math" w:eastAsia="微软雅黑" w:cs="Cambria Math"/>
                <w:color w:val="auto"/>
                <w:sz w:val="22"/>
                <w:szCs w:val="22"/>
                <w:highlight w:val="none"/>
                <w:shd w:val="clear" w:color="auto" w:fill="ffffff"/>
              </w:rPr>
              <w:t xml:space="preserve">⑱</w:t>
            </w:r>
            <w:r>
              <w:rPr>
                <w:rFonts w:hint="eastAsia" w:ascii="仿宋" w:hAnsi="仿宋" w:eastAsia="仿宋"/>
                <w:color w:val="auto"/>
                <w:sz w:val="24"/>
                <w:szCs w:val="19"/>
                <w:highlight w:val="none"/>
                <w:lang w:val="zh-CN"/>
              </w:rPr>
              <w:t xml:space="preserve">过程</w:t>
            </w:r>
            <w:r>
              <w:rPr>
                <w:rFonts w:ascii="仿宋" w:hAnsi="仿宋" w:eastAsia="仿宋"/>
                <w:color w:val="auto"/>
                <w:sz w:val="24"/>
                <w:szCs w:val="19"/>
                <w:highlight w:val="none"/>
                <w:lang w:val="zh-CN"/>
              </w:rPr>
              <w:t xml:space="preserve">管理措施，</w:t>
            </w:r>
            <w:r>
              <w:rPr>
                <w:rFonts w:ascii="Cambria Math" w:hAnsi="Cambria Math" w:eastAsia="微软雅黑" w:cs="Cambria Math"/>
                <w:color w:val="auto"/>
                <w:sz w:val="22"/>
                <w:szCs w:val="22"/>
                <w:highlight w:val="none"/>
                <w:shd w:val="clear" w:color="auto" w:fill="ffffff"/>
              </w:rPr>
              <w:t xml:space="preserve">⑲</w:t>
            </w:r>
            <w:r>
              <w:rPr>
                <w:rFonts w:hint="eastAsia" w:ascii="仿宋" w:hAnsi="仿宋" w:eastAsia="仿宋"/>
                <w:color w:val="auto"/>
                <w:sz w:val="24"/>
                <w:szCs w:val="19"/>
                <w:highlight w:val="none"/>
                <w:lang w:val="zh-CN"/>
              </w:rPr>
              <w:t xml:space="preserve">保密</w:t>
            </w:r>
            <w:r>
              <w:rPr>
                <w:rFonts w:ascii="仿宋" w:hAnsi="仿宋" w:eastAsia="仿宋"/>
                <w:color w:val="auto"/>
                <w:sz w:val="24"/>
                <w:szCs w:val="19"/>
                <w:highlight w:val="none"/>
                <w:lang w:val="zh-CN"/>
              </w:rPr>
              <w:t xml:space="preserve">措施，</w:t>
            </w:r>
            <w:r>
              <w:rPr>
                <w:rFonts w:ascii="Cambria Math" w:hAnsi="Cambria Math" w:eastAsia="微软雅黑" w:cs="Cambria Math"/>
                <w:color w:val="auto"/>
                <w:sz w:val="22"/>
                <w:szCs w:val="22"/>
                <w:highlight w:val="none"/>
                <w:shd w:val="clear" w:color="auto" w:fill="ffffff"/>
              </w:rPr>
              <w:t xml:space="preserve">⑳</w:t>
            </w:r>
            <w:r>
              <w:rPr>
                <w:rFonts w:hint="eastAsia" w:ascii="仿宋" w:hAnsi="仿宋" w:eastAsia="仿宋"/>
                <w:color w:val="auto"/>
                <w:sz w:val="24"/>
                <w:szCs w:val="19"/>
                <w:highlight w:val="none"/>
                <w:lang w:val="zh-CN"/>
              </w:rPr>
              <w:t xml:space="preserve">项目实施</w:t>
            </w:r>
            <w:r>
              <w:rPr>
                <w:rFonts w:ascii="仿宋" w:hAnsi="仿宋" w:eastAsia="仿宋"/>
                <w:color w:val="auto"/>
                <w:sz w:val="24"/>
                <w:szCs w:val="19"/>
                <w:highlight w:val="none"/>
                <w:lang w:val="zh-CN"/>
              </w:rPr>
              <w:t xml:space="preserve">过程中可能出现的重点难点</w:t>
            </w:r>
            <w:r>
              <w:rPr>
                <w:rFonts w:hint="eastAsia" w:ascii="仿宋" w:hAnsi="仿宋" w:eastAsia="仿宋"/>
                <w:color w:val="auto"/>
                <w:sz w:val="24"/>
                <w:szCs w:val="19"/>
                <w:highlight w:val="none"/>
                <w:lang w:val="zh-CN"/>
              </w:rPr>
              <w:t xml:space="preserve">等20分项提供方案，评委根据内容全面科学合理、技术方法可行、针对性强等进行评审，每分项排序分值范围：2、1、0，</w:t>
            </w:r>
            <w:bookmarkStart w:id="161" w:name="OLE_LINK191"/>
            <w:r>
              <w:rPr>
                <w:rFonts w:hint="eastAsia" w:ascii="仿宋" w:hAnsi="仿宋" w:eastAsia="仿宋"/>
                <w:color w:val="auto"/>
                <w:sz w:val="24"/>
                <w:szCs w:val="19"/>
                <w:highlight w:val="none"/>
                <w:lang w:val="zh-CN"/>
              </w:rPr>
              <w:t xml:space="preserve">未提供或无参考价值的不得分，</w:t>
            </w:r>
            <w:bookmarkEnd w:id="161"/>
            <w:r>
              <w:rPr>
                <w:rFonts w:hint="eastAsia" w:ascii="仿宋" w:hAnsi="仿宋" w:eastAsia="仿宋"/>
                <w:color w:val="auto"/>
                <w:sz w:val="24"/>
                <w:szCs w:val="19"/>
                <w:highlight w:val="none"/>
                <w:lang w:val="zh-CN"/>
              </w:rPr>
              <w:t xml:space="preserve">总分为20个分项汇总。</w:t>
            </w:r>
            <w:r/>
          </w:p>
        </w:tc>
      </w:tr>
      <w:tr>
        <w:trPr>
          <w:jc w:val="center"/>
          <w:trHeight w:val="416"/>
        </w:trPr>
        <w:tc>
          <w:tcPr>
            <w:tcW w:w="1456" w:type="dxa"/>
            <w:vAlign w:val="center"/>
            <w:textDirection w:val="lrTb"/>
            <w:noWrap/>
          </w:tcPr>
          <w:p>
            <w:pPr>
              <w:ind w:right="-62"/>
              <w:jc w:val="center"/>
              <w:rPr>
                <w:rFonts w:ascii="仿宋" w:hAnsi="仿宋" w:eastAsia="仿宋"/>
                <w:color w:val="auto"/>
                <w:sz w:val="24"/>
                <w:highlight w:val="none"/>
              </w:rPr>
            </w:pPr>
            <w:r>
              <w:rPr>
                <w:rFonts w:ascii="仿宋" w:hAnsi="仿宋" w:eastAsia="仿宋"/>
                <w:color w:val="auto"/>
                <w:sz w:val="24"/>
                <w:highlight w:val="none"/>
              </w:rPr>
              <w:t xml:space="preserve">后期服务承诺</w:t>
            </w:r>
            <w:r/>
          </w:p>
        </w:tc>
        <w:tc>
          <w:tcPr>
            <w:tcW w:w="771" w:type="dxa"/>
            <w:vAlign w:val="center"/>
            <w:textDirection w:val="lrTb"/>
            <w:noWrap/>
          </w:tcPr>
          <w:p>
            <w:pPr>
              <w:jc w:val="center"/>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10</w:t>
            </w:r>
            <w:r/>
          </w:p>
        </w:tc>
        <w:tc>
          <w:tcPr>
            <w:tcW w:w="6938" w:type="dxa"/>
            <w:vAlign w:val="center"/>
            <w:textDirection w:val="lrTb"/>
            <w:noWrap/>
          </w:tcPr>
          <w:p>
            <w:pPr>
              <w:spacing w:line="360" w:lineRule="exact"/>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供应商须提供美丽河湖水生态调查评估服务项目的后期服务承诺，包含①项目实施过程中提供技术咨询、成果解释；②配合主管部门复核、抽查、申报工作；③建立日常工作的长效联系与服务机制；④验收后如有需要提供小幅修改支持等4个分项，每个分项得2.5分，未提供或无参考价值或明显与本项目不相符的均不得分，总分为10分。</w:t>
            </w:r>
            <w:r/>
          </w:p>
        </w:tc>
      </w:tr>
    </w:tbl>
    <w:p>
      <w:pP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w:t>
      </w:r>
      <w:r/>
    </w:p>
    <w:p>
      <w:pPr>
        <w:rPr>
          <w:rFonts w:ascii="仿宋" w:hAnsi="仿宋" w:eastAsia="仿宋" w:cs="仿宋"/>
          <w:color w:val="auto"/>
          <w:sz w:val="24"/>
          <w:highlight w:val="none"/>
        </w:rPr>
      </w:pPr>
      <w:r>
        <w:rPr>
          <w:rFonts w:hint="eastAsia" w:ascii="仿宋" w:hAnsi="仿宋" w:eastAsia="仿宋" w:cs="仿宋"/>
          <w:b/>
          <w:color w:val="auto"/>
          <w:sz w:val="24"/>
          <w:highlight w:val="none"/>
        </w:rPr>
        <w:t xml:space="preserve">1．</w:t>
      </w:r>
      <w:r>
        <w:rPr>
          <w:rFonts w:hint="eastAsia" w:ascii="仿宋" w:hAnsi="仿宋" w:eastAsia="仿宋" w:cs="仿宋"/>
          <w:b/>
          <w:bCs/>
          <w:color w:val="auto"/>
          <w:sz w:val="24"/>
          <w:highlight w:val="none"/>
        </w:rPr>
        <w:t xml:space="preserve">付款方式、交货时间不响应磋商要求的不得中标；</w:t>
      </w:r>
      <w:r/>
    </w:p>
    <w:p>
      <w:pP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2. 响应人提交的涉及评分表内评分点要求的文件或证明的扫描件应是最新（有效）、清晰，</w:t>
      </w:r>
      <w:r>
        <w:rPr>
          <w:rFonts w:hint="eastAsia" w:ascii="仿宋" w:hAnsi="仿宋" w:eastAsia="仿宋" w:cs="仿宋"/>
          <w:b/>
          <w:color w:val="auto"/>
          <w:sz w:val="24"/>
          <w:highlight w:val="none"/>
          <w:u w:val="single"/>
        </w:rPr>
        <w:t xml:space="preserve">扫描件不清晰或不能辨识的视为不具备该项得分的条件</w:t>
      </w:r>
      <w:r>
        <w:rPr>
          <w:rFonts w:hint="eastAsia" w:ascii="仿宋" w:hAnsi="仿宋" w:eastAsia="仿宋" w:cs="仿宋"/>
          <w:b/>
          <w:color w:val="auto"/>
          <w:sz w:val="24"/>
          <w:highlight w:val="none"/>
        </w:rPr>
        <w:t xml:space="preserve">。</w:t>
      </w:r>
      <w:r/>
    </w:p>
    <w:p>
      <w:pPr>
        <w:jc w:val="lef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3、供应商在人员和业绩等内容涉及总公司与分公司的视为同一公司（但以分公司响应时，总公司人员和业绩等均不予认可）;为母公司与子公司的视为两家公司。</w:t>
      </w:r>
      <w:r/>
    </w:p>
    <w:p>
      <w:pPr>
        <w:pStyle w:val="1099"/>
        <w:jc w:val="center"/>
        <w:spacing w:before="100" w:beforeAutospacing="1" w:after="100" w:afterAutospacing="1" w:line="24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第十三章 响应文件格式</w:t>
      </w:r>
      <w:r/>
    </w:p>
    <w:tbl>
      <w:tblPr>
        <w:tblStyle w:val="896"/>
        <w:tblW w:w="9214"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214"/>
      </w:tblGrid>
      <w:tr>
        <w:trPr>
          <w:trHeight w:val="275"/>
        </w:trPr>
        <w:tc>
          <w:tcPr>
            <w:tcW w:w="9214" w:type="dxa"/>
            <w:textDirection w:val="lrTb"/>
            <w:noWrap/>
          </w:tcPr>
          <w:p>
            <w:pPr>
              <w:spacing w:before="120"/>
              <w:rPr>
                <w:rFonts w:ascii="仿宋" w:hAnsi="仿宋" w:eastAsia="仿宋" w:cs="仿宋"/>
                <w:color w:val="auto"/>
                <w:sz w:val="24"/>
                <w:highlight w:val="none"/>
              </w:rPr>
            </w:pPr>
            <w:r>
              <w:rPr>
                <w:rFonts w:ascii="仿宋" w:hAnsi="仿宋" w:eastAsia="仿宋" w:cs="仿宋"/>
                <w:color w:val="auto"/>
                <w:sz w:val="24"/>
                <w:highlight w:val="none"/>
              </w:rPr>
            </w:r>
            <w:r/>
          </w:p>
          <w:p>
            <w:pPr>
              <w:spacing w:before="120"/>
              <w:rPr>
                <w:rFonts w:ascii="仿宋" w:hAnsi="仿宋" w:eastAsia="仿宋" w:cs="仿宋"/>
                <w:color w:val="auto"/>
                <w:sz w:val="24"/>
                <w:highlight w:val="none"/>
              </w:rPr>
            </w:pPr>
            <w:r>
              <w:rPr>
                <w:rFonts w:hint="eastAsia" w:ascii="仿宋" w:hAnsi="仿宋" w:eastAsia="仿宋" w:cs="仿宋"/>
                <w:color w:val="auto"/>
                <w:sz w:val="24"/>
                <w:highlight w:val="none"/>
              </w:rPr>
              <w:t xml:space="preserve">注： </w:t>
            </w:r>
            <w:r/>
          </w:p>
          <w:p>
            <w:pPr>
              <w:ind w:firstLine="480"/>
              <w:spacing w:before="120"/>
              <w:rPr>
                <w:rFonts w:ascii="仿宋" w:hAnsi="仿宋" w:eastAsia="仿宋" w:cs="仿宋"/>
                <w:color w:val="auto"/>
                <w:sz w:val="24"/>
                <w:highlight w:val="none"/>
              </w:rPr>
            </w:pPr>
            <w:r>
              <w:rPr>
                <w:rFonts w:hint="eastAsia" w:ascii="仿宋" w:hAnsi="仿宋" w:eastAsia="仿宋" w:cs="仿宋"/>
                <w:color w:val="auto"/>
                <w:sz w:val="24"/>
                <w:highlight w:val="none"/>
              </w:rPr>
              <w:t xml:space="preserve">《响应文件格式》是供应商的部分响应文件格式和签订合同时所需文件的格式。供应商应参照这些格式文件制作响应文件。</w:t>
            </w:r>
            <w:r/>
          </w:p>
          <w:p>
            <w:pPr>
              <w:ind w:firstLine="480"/>
              <w:spacing w:before="120"/>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如供应商认为本格式文件不符合其自身特点或未提供格式的，可自行拟定相应表格，但必须响应磋商文件的有关要求。</w:t>
            </w:r>
            <w:r/>
          </w:p>
          <w:p>
            <w:pPr>
              <w:ind w:firstLine="480"/>
              <w:spacing w:before="120"/>
              <w:rPr>
                <w:rFonts w:ascii="仿宋" w:hAnsi="仿宋" w:eastAsia="仿宋" w:cs="仿宋"/>
                <w:b/>
                <w:bCs/>
                <w:color w:val="auto"/>
                <w:sz w:val="24"/>
                <w:highlight w:val="none"/>
              </w:rPr>
            </w:pPr>
            <w:r>
              <w:rPr>
                <w:rFonts w:ascii="仿宋" w:hAnsi="仿宋" w:eastAsia="仿宋" w:cs="仿宋"/>
                <w:b/>
                <w:bCs/>
                <w:color w:val="auto"/>
                <w:sz w:val="24"/>
                <w:highlight w:val="none"/>
              </w:rPr>
            </w:r>
            <w:r/>
          </w:p>
        </w:tc>
      </w:tr>
    </w:tbl>
    <w:p>
      <w:pPr>
        <w:rPr>
          <w:rFonts w:ascii="仿宋" w:hAnsi="仿宋" w:eastAsia="仿宋" w:cs="仿宋"/>
          <w:color w:val="auto"/>
          <w:sz w:val="32"/>
          <w:szCs w:val="32"/>
          <w:highlight w:val="none"/>
        </w:rPr>
        <w:sectPr>
          <w:footnotePr/>
          <w:endnotePr/>
          <w:type w:val="nextPage"/>
          <w:pgSz w:w="11905" w:h="16838" w:orient="portrait"/>
          <w:pgMar w:top="1213" w:right="1417" w:bottom="1400" w:left="1417" w:header="850" w:footer="992" w:gutter="0"/>
          <w:cols w:num="1" w:sep="0" w:space="0" w:equalWidth="1"/>
          <w:docGrid w:linePitch="360"/>
          <w:titlePg/>
        </w:sectPr>
      </w:pPr>
      <w:r>
        <w:rPr>
          <w:rFonts w:ascii="仿宋" w:hAnsi="仿宋" w:eastAsia="仿宋" w:cs="仿宋"/>
          <w:color w:val="auto"/>
          <w:sz w:val="32"/>
          <w:szCs w:val="32"/>
          <w:highlight w:val="none"/>
        </w:rPr>
      </w:r>
      <w:r/>
    </w:p>
    <w:p>
      <w:pPr>
        <w:pStyle w:val="1103"/>
        <w:jc w:val="right"/>
        <w:rPr>
          <w:rFonts w:ascii="Arial" w:hAnsi="Arial" w:eastAsia="仿宋_GB2312"/>
          <w:color w:val="auto"/>
          <w:sz w:val="28"/>
          <w:szCs w:val="28"/>
          <w:highlight w:val="none"/>
        </w:rPr>
      </w:pPr>
      <w:r>
        <w:rPr>
          <w:rFonts w:ascii="Arial" w:hAnsi="Arial" w:eastAsia="仿宋_GB2312"/>
          <w:color w:val="auto"/>
          <w:sz w:val="28"/>
          <w:szCs w:val="28"/>
          <w:highlight w:val="none"/>
        </w:rPr>
        <w:t xml:space="preserve">【正（副）本】</w:t>
      </w:r>
      <w:r/>
    </w:p>
    <w:p>
      <w:pPr>
        <w:pStyle w:val="1103"/>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4"/>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3"/>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4"/>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3"/>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4"/>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3"/>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4"/>
        <w:rPr>
          <w:color w:val="auto"/>
          <w:highlight w:val="none"/>
        </w:rPr>
      </w:pPr>
      <w:r>
        <w:rPr>
          <w:color w:val="auto"/>
          <w:highlight w:val="none"/>
        </w:rPr>
      </w:r>
      <w:r/>
    </w:p>
    <w:p>
      <w:pPr>
        <w:pStyle w:val="1103"/>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3"/>
        <w:jc w:val="center"/>
        <w:rPr>
          <w:rFonts w:ascii="Arial" w:hAnsi="Arial" w:eastAsia="仿宋_GB2312"/>
          <w:b/>
          <w:color w:val="auto"/>
          <w:spacing w:val="100"/>
          <w:sz w:val="72"/>
          <w:szCs w:val="72"/>
          <w:highlight w:val="none"/>
        </w:rPr>
      </w:pPr>
      <w:r>
        <w:rPr>
          <w:rFonts w:hint="eastAsia" w:ascii="Arial" w:hAnsi="Arial" w:eastAsia="仿宋_GB2312"/>
          <w:b/>
          <w:color w:val="auto"/>
          <w:spacing w:val="100"/>
          <w:sz w:val="72"/>
          <w:szCs w:val="72"/>
          <w:highlight w:val="none"/>
        </w:rPr>
        <w:t xml:space="preserve">响应</w:t>
      </w:r>
      <w:r>
        <w:rPr>
          <w:rFonts w:ascii="Arial" w:hAnsi="Arial" w:eastAsia="仿宋_GB2312"/>
          <w:b/>
          <w:color w:val="auto"/>
          <w:spacing w:val="100"/>
          <w:sz w:val="72"/>
          <w:szCs w:val="72"/>
          <w:highlight w:val="none"/>
        </w:rPr>
        <w:t xml:space="preserve">文件(格式)</w:t>
      </w:r>
      <w:r/>
    </w:p>
    <w:p>
      <w:pPr>
        <w:pStyle w:val="1103"/>
        <w:jc w:val="center"/>
        <w:rPr>
          <w:rFonts w:ascii="Arial" w:hAnsi="Arial" w:eastAsia="仿宋_GB2312"/>
          <w:b/>
          <w:color w:val="auto"/>
          <w:spacing w:val="100"/>
          <w:szCs w:val="21"/>
          <w:highlight w:val="none"/>
        </w:rPr>
      </w:pPr>
      <w:r>
        <w:rPr>
          <w:rFonts w:ascii="Arial" w:hAnsi="Arial" w:eastAsia="仿宋_GB2312"/>
          <w:b/>
          <w:color w:val="auto"/>
          <w:spacing w:val="100"/>
          <w:szCs w:val="21"/>
          <w:highlight w:val="none"/>
        </w:rPr>
      </w:r>
      <w:r/>
    </w:p>
    <w:p>
      <w:pPr>
        <w:pStyle w:val="1103"/>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pStyle w:val="1103"/>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pStyle w:val="1103"/>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1103"/>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1103"/>
        <w:ind w:firstLine="2880"/>
        <w:spacing w:line="360" w:lineRule="auto"/>
        <w:rPr>
          <w:rFonts w:ascii="Arial" w:hAnsi="Arial" w:eastAsia="仿宋_GB2312"/>
          <w:color w:val="auto"/>
          <w:sz w:val="28"/>
          <w:szCs w:val="28"/>
          <w:highlight w:val="none"/>
        </w:rPr>
      </w:pPr>
      <w:r>
        <w:rPr>
          <w:rFonts w:ascii="Arial" w:hAnsi="Arial" w:eastAsia="仿宋_GB2312"/>
          <w:color w:val="auto"/>
          <w:sz w:val="32"/>
          <w:szCs w:val="32"/>
          <w:highlight w:val="none"/>
        </w:rPr>
        <w:t xml:space="preserve">项目名称：</w:t>
      </w:r>
      <w:r/>
    </w:p>
    <w:p>
      <w:pPr>
        <w:pStyle w:val="1103"/>
        <w:ind w:firstLine="2880"/>
        <w:spacing w:line="360" w:lineRule="auto"/>
        <w:rPr>
          <w:rFonts w:ascii="Arial" w:hAnsi="Arial" w:eastAsia="仿宋_GB2312"/>
          <w:color w:val="auto"/>
          <w:sz w:val="32"/>
          <w:szCs w:val="32"/>
          <w:highlight w:val="none"/>
        </w:rPr>
      </w:pPr>
      <w:r>
        <w:rPr>
          <w:rFonts w:ascii="Arial" w:hAnsi="Arial" w:eastAsia="仿宋_GB2312"/>
          <w:color w:val="auto"/>
          <w:sz w:val="32"/>
          <w:szCs w:val="32"/>
          <w:highlight w:val="none"/>
        </w:rPr>
        <w:t xml:space="preserve">项目编号：</w:t>
      </w:r>
      <w:r/>
    </w:p>
    <w:p>
      <w:pPr>
        <w:pStyle w:val="1103"/>
        <w:ind w:firstLine="2880"/>
        <w:spacing w:line="360" w:lineRule="auto"/>
        <w:rPr>
          <w:rFonts w:ascii="Arial" w:hAnsi="Arial" w:eastAsia="仿宋_GB2312"/>
          <w:color w:val="auto"/>
          <w:sz w:val="32"/>
          <w:szCs w:val="32"/>
          <w:highlight w:val="none"/>
        </w:rPr>
      </w:pPr>
      <w:r>
        <w:rPr>
          <w:rFonts w:ascii="Arial" w:hAnsi="Arial" w:eastAsia="仿宋_GB2312"/>
          <w:color w:val="auto"/>
          <w:sz w:val="32"/>
          <w:szCs w:val="32"/>
          <w:highlight w:val="none"/>
        </w:rPr>
      </w:r>
      <w:r/>
    </w:p>
    <w:p>
      <w:pPr>
        <w:pStyle w:val="1103"/>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3"/>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3"/>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3"/>
        <w:jc w:val="center"/>
        <w:spacing w:line="600" w:lineRule="auto"/>
        <w:rPr>
          <w:rFonts w:ascii="Arial" w:hAnsi="Arial" w:eastAsia="仿宋_GB2312"/>
          <w:color w:val="auto"/>
          <w:sz w:val="32"/>
          <w:szCs w:val="32"/>
          <w:highlight w:val="none"/>
        </w:rPr>
      </w:pPr>
      <w:r>
        <w:rPr>
          <w:rFonts w:ascii="Arial" w:hAnsi="Arial" w:eastAsia="仿宋_GB2312"/>
          <w:color w:val="auto"/>
          <w:sz w:val="32"/>
          <w:szCs w:val="32"/>
          <w:highlight w:val="none"/>
        </w:rPr>
        <w:t xml:space="preserve">投标单位全称</w:t>
      </w:r>
      <w:r/>
    </w:p>
    <w:p>
      <w:pPr>
        <w:pStyle w:val="1103"/>
        <w:jc w:val="center"/>
        <w:spacing w:line="600" w:lineRule="auto"/>
        <w:rPr>
          <w:rFonts w:ascii="Arial" w:hAnsi="Arial" w:eastAsia="仿宋_GB2312"/>
          <w:color w:val="auto"/>
          <w:sz w:val="32"/>
          <w:szCs w:val="32"/>
          <w:highlight w:val="none"/>
        </w:rPr>
      </w:pPr>
      <w:r>
        <w:rPr>
          <w:rFonts w:ascii="Arial" w:hAnsi="Arial" w:eastAsia="仿宋_GB2312"/>
          <w:color w:val="auto"/>
          <w:sz w:val="32"/>
          <w:szCs w:val="32"/>
          <w:highlight w:val="none"/>
        </w:rPr>
        <w:t xml:space="preserve">年  月  日</w:t>
      </w:r>
      <w:r/>
    </w:p>
    <w:p>
      <w:pPr>
        <w:pStyle w:val="1103"/>
        <w:jc w:val="center"/>
        <w:spacing w:line="600" w:lineRule="auto"/>
        <w:rPr>
          <w:rFonts w:ascii="Arial" w:hAnsi="Arial" w:eastAsia="仿宋_GB2312"/>
          <w:color w:val="auto"/>
          <w:sz w:val="32"/>
          <w:szCs w:val="32"/>
          <w:highlight w:val="none"/>
        </w:rPr>
        <w:sectPr>
          <w:headerReference w:type="default" r:id="rId14"/>
          <w:footerReference w:type="default" r:id="rId21"/>
          <w:footerReference w:type="even" r:id="rId22"/>
          <w:footnotePr/>
          <w:endnotePr/>
          <w:type w:val="nextPage"/>
          <w:pgSz w:w="11905" w:h="16838" w:orient="portrait"/>
          <w:pgMar w:top="1213" w:right="1417" w:bottom="1400" w:left="1417" w:header="850" w:footer="992" w:gutter="0"/>
          <w:cols w:num="1" w:sep="0" w:space="0" w:equalWidth="1"/>
          <w:docGrid w:linePitch="360"/>
          <w:titlePg/>
        </w:sectPr>
      </w:pPr>
      <w:r>
        <w:rPr>
          <w:rFonts w:ascii="Arial" w:hAnsi="Arial" w:eastAsia="仿宋_GB2312"/>
          <w:color w:val="auto"/>
          <w:sz w:val="32"/>
          <w:szCs w:val="32"/>
          <w:highlight w:val="none"/>
        </w:rPr>
      </w:r>
      <w:r/>
    </w:p>
    <w:p>
      <w:pPr>
        <w:pStyle w:val="1364"/>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一、基本目录</w:t>
      </w:r>
      <w:r/>
    </w:p>
    <w:p>
      <w:pPr>
        <w:pStyle w:val="1364"/>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（一）首轮报价</w:t>
      </w:r>
      <w:r>
        <w:rPr>
          <w:rFonts w:ascii="Arial" w:hAnsi="Arial" w:eastAsia="仿宋_GB2312"/>
          <w:bCs w:val="0"/>
          <w:color w:val="auto"/>
          <w:sz w:val="28"/>
          <w:szCs w:val="28"/>
          <w:highlight w:val="none"/>
        </w:rPr>
        <w:t xml:space="preserve">一览表</w:t>
      </w:r>
      <w:r/>
    </w:p>
    <w:p>
      <w:pPr>
        <w:pStyle w:val="1103"/>
        <w:jc w:val="left"/>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103"/>
        <w:jc w:val="left"/>
        <w:spacing w:line="46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rPr>
        <w:t xml:space="preserve">         </w:t>
      </w:r>
      <w:r/>
    </w:p>
    <w:p>
      <w:pPr>
        <w:pStyle w:val="1104"/>
        <w:rPr>
          <w:color w:val="auto"/>
          <w:highlight w:val="none"/>
        </w:rPr>
      </w:pPr>
      <w:r>
        <w:rPr>
          <w:color w:val="auto"/>
          <w:highlight w:val="none"/>
        </w:rPr>
      </w:r>
      <w:r/>
    </w:p>
    <w:p>
      <w:pPr>
        <w:spacing w:line="36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rPr>
        <w:t xml:space="preserve">         </w:t>
      </w:r>
      <w:r/>
    </w:p>
    <w:p>
      <w:pPr>
        <w:jc w:val="right"/>
        <w:rPr>
          <w:rFonts w:ascii="仿宋" w:hAnsi="仿宋" w:eastAsia="仿宋" w:cs="仿宋"/>
          <w:color w:val="auto"/>
          <w:sz w:val="24"/>
          <w:highlight w:val="none"/>
        </w:rPr>
      </w:pPr>
      <w:r>
        <w:rPr>
          <w:rFonts w:hint="eastAsia" w:ascii="仿宋" w:hAnsi="仿宋" w:eastAsia="仿宋" w:cs="仿宋"/>
          <w:color w:val="auto"/>
          <w:sz w:val="24"/>
          <w:highlight w:val="none"/>
        </w:rPr>
        <w:t xml:space="preserve">单位： 元</w:t>
      </w:r>
      <w:r/>
    </w:p>
    <w:tbl>
      <w:tblPr>
        <w:tblStyle w:val="896"/>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324"/>
        <w:gridCol w:w="2127"/>
        <w:gridCol w:w="3463"/>
      </w:tblGrid>
      <w:tr>
        <w:trPr>
          <w:cantSplit/>
          <w:jc w:val="center"/>
          <w:trHeight w:val="884"/>
        </w:trPr>
        <w:tc>
          <w:tcPr>
            <w:tcW w:w="3324"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p>
        </w:tc>
        <w:tc>
          <w:tcPr>
            <w:tcW w:w="212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项目内容</w:t>
            </w:r>
            <w:r/>
          </w:p>
        </w:tc>
        <w:tc>
          <w:tcPr>
            <w:tcW w:w="346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总价（小写）</w:t>
            </w:r>
            <w:r/>
          </w:p>
        </w:tc>
      </w:tr>
      <w:tr>
        <w:trPr>
          <w:cantSplit/>
          <w:jc w:val="center"/>
          <w:trHeight w:val="923"/>
        </w:trPr>
        <w:tc>
          <w:tcPr>
            <w:tcW w:w="3324"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靖江市美丽河湖水生态调查评估项目</w:t>
            </w:r>
            <w:r/>
          </w:p>
        </w:tc>
        <w:tc>
          <w:tcPr>
            <w:tcW w:w="212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详见响应文件 </w:t>
            </w:r>
            <w:r/>
          </w:p>
        </w:tc>
        <w:tc>
          <w:tcPr>
            <w:tcW w:w="3463"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901"/>
        </w:trPr>
        <w:tc>
          <w:tcPr>
            <w:tcW w:w="3324"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总价（大写）：</w:t>
            </w:r>
            <w:r/>
          </w:p>
        </w:tc>
        <w:tc>
          <w:tcPr>
            <w:gridSpan w:val="2"/>
            <w:tcW w:w="5590"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bl>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300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（盖电子签章）</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31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pStyle w:val="1103"/>
        <w:ind w:firstLine="361"/>
        <w:spacing w:after="240"/>
        <w:rPr>
          <w:rFonts w:ascii="仿宋" w:hAnsi="仿宋" w:eastAsia="仿宋" w:cs="仿宋"/>
          <w:b/>
          <w:color w:val="auto"/>
          <w:sz w:val="24"/>
          <w:highlight w:val="none"/>
        </w:rPr>
      </w:pPr>
      <w:r>
        <w:rPr>
          <w:rFonts w:ascii="仿宋" w:hAnsi="仿宋" w:eastAsia="仿宋" w:cs="仿宋"/>
          <w:b/>
          <w:color w:val="auto"/>
          <w:sz w:val="24"/>
          <w:highlight w:val="none"/>
        </w:rPr>
      </w:r>
      <w:r/>
    </w:p>
    <w:p>
      <w:pPr>
        <w:pStyle w:val="1103"/>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4"/>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4"/>
        <w:jc w:val="center"/>
        <w:rPr>
          <w:rFonts w:ascii="Arial" w:hAnsi="Arial" w:eastAsia="仿宋_GB2312"/>
          <w:color w:val="auto"/>
          <w:sz w:val="28"/>
          <w:szCs w:val="28"/>
          <w:highlight w:val="none"/>
        </w:rPr>
      </w:pPr>
      <w:r>
        <w:rPr>
          <w:rFonts w:ascii="Arial" w:hAnsi="Arial" w:eastAsia="仿宋_GB2312"/>
          <w:color w:val="auto"/>
          <w:sz w:val="28"/>
          <w:szCs w:val="28"/>
          <w:highlight w:val="none"/>
        </w:rPr>
        <w:br w:type="page" w:clear="all"/>
      </w:r>
      <w:bookmarkStart w:id="162" w:name="_Toc302967412"/>
      <w:r>
        <w:rPr>
          <w:rFonts w:hint="eastAsia" w:ascii="Arial" w:hAnsi="Arial" w:eastAsia="仿宋_GB2312"/>
          <w:b/>
          <w:bCs/>
          <w:color w:val="auto"/>
          <w:sz w:val="28"/>
          <w:szCs w:val="28"/>
          <w:highlight w:val="none"/>
        </w:rPr>
        <w:t xml:space="preserve">（二）</w:t>
      </w:r>
      <w:r>
        <w:rPr>
          <w:rFonts w:ascii="Arial" w:hAnsi="Arial" w:eastAsia="仿宋_GB2312"/>
          <w:b/>
          <w:bCs/>
          <w:color w:val="auto"/>
          <w:sz w:val="28"/>
          <w:szCs w:val="28"/>
          <w:highlight w:val="none"/>
        </w:rPr>
        <w:t xml:space="preserve">法定代表人授权书</w:t>
      </w:r>
      <w:bookmarkEnd w:id="162"/>
      <w:r/>
      <w:r/>
    </w:p>
    <w:p>
      <w:pPr>
        <w:pStyle w:val="1103"/>
        <w:spacing w:line="360" w:lineRule="auto"/>
        <w:rPr>
          <w:rFonts w:ascii="Arial" w:hAnsi="Arial" w:eastAsia="仿宋_GB2312"/>
          <w:color w:val="auto"/>
          <w:sz w:val="24"/>
          <w:highlight w:val="none"/>
        </w:rPr>
      </w:pPr>
      <w:r>
        <w:rPr>
          <w:rFonts w:ascii="Arial" w:hAnsi="Arial" w:eastAsia="仿宋_GB2312"/>
          <w:color w:val="auto"/>
          <w:sz w:val="24"/>
          <w:highlight w:val="none"/>
        </w:rPr>
      </w:r>
      <w:r/>
    </w:p>
    <w:p>
      <w:pPr>
        <w:pStyle w:val="1103"/>
        <w:spacing w:line="48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泰州市靖江生态环境局</w:t>
      </w:r>
      <w:r>
        <w:rPr>
          <w:rFonts w:ascii="仿宋" w:hAnsi="仿宋" w:eastAsia="仿宋"/>
          <w:bCs/>
          <w:color w:val="auto"/>
          <w:sz w:val="24"/>
          <w:highlight w:val="none"/>
        </w:rPr>
        <w:t xml:space="preserve">：</w:t>
      </w:r>
      <w:r/>
    </w:p>
    <w:p>
      <w:pPr>
        <w:pStyle w:val="1103"/>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本授权委托书声明：我</w:t>
      </w:r>
      <w:r>
        <w:rPr>
          <w:rFonts w:ascii="仿宋" w:hAnsi="仿宋" w:eastAsia="仿宋"/>
          <w:color w:val="auto"/>
          <w:sz w:val="24"/>
          <w:highlight w:val="none"/>
          <w:u w:val="single"/>
        </w:rPr>
        <w:t xml:space="preserve">           （姓名） </w:t>
      </w:r>
      <w:r>
        <w:rPr>
          <w:rFonts w:ascii="仿宋" w:hAnsi="仿宋" w:eastAsia="仿宋"/>
          <w:color w:val="auto"/>
          <w:sz w:val="24"/>
          <w:highlight w:val="none"/>
        </w:rPr>
        <w:t xml:space="preserve">系</w:t>
      </w:r>
      <w:r>
        <w:rPr>
          <w:rFonts w:ascii="仿宋" w:hAnsi="仿宋" w:eastAsia="仿宋"/>
          <w:color w:val="auto"/>
          <w:sz w:val="24"/>
          <w:highlight w:val="none"/>
          <w:u w:val="single"/>
        </w:rPr>
        <w:t xml:space="preserve">              （供应商名称）</w:t>
      </w:r>
      <w:r>
        <w:rPr>
          <w:rFonts w:ascii="仿宋" w:hAnsi="仿宋" w:eastAsia="仿宋"/>
          <w:color w:val="auto"/>
          <w:sz w:val="24"/>
          <w:highlight w:val="none"/>
        </w:rPr>
        <w:t xml:space="preserve">法定代表人，现授权委托我公司的</w:t>
      </w:r>
      <w:r>
        <w:rPr>
          <w:rFonts w:ascii="仿宋" w:hAnsi="仿宋" w:eastAsia="仿宋"/>
          <w:color w:val="auto"/>
          <w:sz w:val="24"/>
          <w:highlight w:val="none"/>
          <w:u w:val="single"/>
        </w:rPr>
        <w:t xml:space="preserve">            （姓名、职务或职称）</w:t>
      </w:r>
      <w:r>
        <w:rPr>
          <w:rFonts w:ascii="仿宋" w:hAnsi="仿宋" w:eastAsia="仿宋"/>
          <w:color w:val="auto"/>
          <w:sz w:val="24"/>
          <w:highlight w:val="none"/>
        </w:rPr>
        <w:t xml:space="preserve">为我公司本次项目的全权代表，并授权其全权代表我方办理本次投标、签约的相关事宜，签署全部有关的文件、协议、合同并具有法律效力。</w:t>
      </w:r>
      <w:r/>
    </w:p>
    <w:p>
      <w:pPr>
        <w:pStyle w:val="1103"/>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在我方未发出撤销授权书的书面通知以前，本授权书一直有效。被授权人签署的所有文件（在授权书有效期内签署的）不因授权撤销而失效。</w:t>
      </w:r>
      <w:r/>
    </w:p>
    <w:p>
      <w:pPr>
        <w:pStyle w:val="1103"/>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全权代表无权转让委托权。特此委托。</w:t>
      </w:r>
      <w:r/>
    </w:p>
    <w:p>
      <w:pPr>
        <w:pStyle w:val="1103"/>
        <w:ind w:firstLine="480"/>
        <w:spacing w:line="480" w:lineRule="auto"/>
        <w:tabs>
          <w:tab w:val="left" w:pos="5265" w:leader="none"/>
        </w:tabs>
        <w:rPr>
          <w:rFonts w:ascii="仿宋" w:hAnsi="仿宋" w:eastAsia="仿宋"/>
          <w:color w:val="auto"/>
          <w:sz w:val="24"/>
          <w:highlight w:val="none"/>
        </w:rPr>
      </w:pPr>
      <w:r>
        <w:rPr>
          <w:rFonts w:ascii="仿宋" w:hAnsi="仿宋" w:eastAsia="仿宋"/>
          <w:color w:val="auto"/>
          <w:sz w:val="24"/>
          <w:highlight w:val="none"/>
        </w:rPr>
        <w:t xml:space="preserve">本授权书于</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日签字生效,特此声明。</w:t>
      </w:r>
      <w:r/>
    </w:p>
    <w:p>
      <w:pPr>
        <w:pStyle w:val="1103"/>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03"/>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附法人代表身份证及被授权代表身份证</w:t>
      </w:r>
      <w:r>
        <w:rPr>
          <w:rFonts w:hint="eastAsia" w:ascii="仿宋" w:hAnsi="仿宋" w:eastAsia="仿宋"/>
          <w:color w:val="auto"/>
          <w:sz w:val="24"/>
          <w:highlight w:val="none"/>
        </w:rPr>
        <w:t xml:space="preserve">扫描件</w:t>
      </w:r>
      <w:r/>
    </w:p>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03"/>
        <w:spacing w:line="360" w:lineRule="auto"/>
        <w:rPr>
          <w:rFonts w:ascii="仿宋" w:hAnsi="仿宋" w:eastAsia="仿宋"/>
          <w:color w:val="auto"/>
          <w:sz w:val="24"/>
          <w:highlight w:val="none"/>
        </w:rPr>
      </w:pPr>
      <w:r>
        <w:rPr>
          <w:rFonts w:ascii="仿宋" w:hAnsi="仿宋" w:eastAsia="仿宋"/>
          <w:color w:val="auto"/>
          <w:sz w:val="24"/>
          <w:highlight w:val="none"/>
        </w:rPr>
        <w:t xml:space="preserve">被授权代表姓名：               性 别：              年 龄：</w:t>
      </w:r>
      <w:r/>
    </w:p>
    <w:p>
      <w:pPr>
        <w:pStyle w:val="1103"/>
        <w:spacing w:line="360" w:lineRule="auto"/>
        <w:rPr>
          <w:rFonts w:ascii="仿宋" w:hAnsi="仿宋" w:eastAsia="仿宋"/>
          <w:color w:val="auto"/>
          <w:sz w:val="24"/>
          <w:highlight w:val="none"/>
        </w:rPr>
      </w:pPr>
      <w:r>
        <w:rPr>
          <w:rFonts w:ascii="仿宋" w:hAnsi="仿宋" w:eastAsia="仿宋"/>
          <w:color w:val="auto"/>
          <w:sz w:val="24"/>
          <w:highlight w:val="none"/>
        </w:rPr>
        <w:t xml:space="preserve">单  位：                       部 门：              职 务：</w:t>
      </w:r>
      <w:r/>
    </w:p>
    <w:p>
      <w:pPr>
        <w:pStyle w:val="1103"/>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03"/>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03"/>
        <w:spacing w:line="360" w:lineRule="auto"/>
        <w:rPr>
          <w:rFonts w:ascii="仿宋" w:hAnsi="仿宋" w:eastAsia="仿宋"/>
          <w:color w:val="auto"/>
          <w:sz w:val="24"/>
          <w:highlight w:val="none"/>
        </w:rPr>
      </w:pPr>
      <w:r>
        <w:rPr>
          <w:rFonts w:ascii="仿宋" w:hAnsi="仿宋" w:eastAsia="仿宋"/>
          <w:color w:val="auto"/>
          <w:sz w:val="24"/>
          <w:highlight w:val="none"/>
        </w:rPr>
        <w:t xml:space="preserve">供应商（</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244"/>
        <w:rPr>
          <w:color w:val="auto"/>
          <w:highlight w:val="none"/>
        </w:rPr>
      </w:pPr>
      <w:r>
        <w:rPr>
          <w:color w:val="auto"/>
          <w:highlight w:val="none"/>
        </w:rPr>
      </w:r>
      <w:r/>
    </w:p>
    <w:p>
      <w:pPr>
        <w:pStyle w:val="1103"/>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03"/>
        <w:rPr>
          <w:rFonts w:ascii="仿宋" w:hAnsi="仿宋" w:eastAsia="仿宋"/>
          <w:color w:val="auto"/>
          <w:sz w:val="24"/>
          <w:highlight w:val="none"/>
        </w:rPr>
      </w:pPr>
      <w:r>
        <w:rPr>
          <w:rFonts w:ascii="仿宋" w:hAnsi="仿宋" w:eastAsia="仿宋"/>
          <w:color w:val="auto"/>
          <w:sz w:val="24"/>
          <w:highlight w:val="none"/>
        </w:rPr>
      </w:r>
      <w:r/>
    </w:p>
    <w:p>
      <w:pPr>
        <w:pStyle w:val="1103"/>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1103"/>
        <w:jc w:val="center"/>
        <w:spacing w:line="460" w:lineRule="exact"/>
        <w:rPr>
          <w:rFonts w:ascii="Arial" w:hAnsi="Arial" w:eastAsia="仿宋_GB2312"/>
          <w:b/>
          <w:bCs/>
          <w:color w:val="auto"/>
          <w:sz w:val="24"/>
          <w:highlight w:val="none"/>
        </w:rPr>
        <w:sectPr>
          <w:footnotePr/>
          <w:endnotePr/>
          <w:type w:val="nextPage"/>
          <w:pgSz w:w="11905" w:h="16838" w:orient="portrait"/>
          <w:pgMar w:top="1213" w:right="1417" w:bottom="1400" w:left="1417" w:header="850" w:footer="992" w:gutter="0"/>
          <w:cols w:num="1" w:sep="0" w:space="0" w:equalWidth="1"/>
          <w:docGrid w:linePitch="360"/>
          <w:titlePg/>
        </w:sectPr>
      </w:pPr>
      <w:r>
        <w:rPr>
          <w:rFonts w:ascii="Arial" w:hAnsi="Arial" w:eastAsia="仿宋_GB2312"/>
          <w:b/>
          <w:bCs/>
          <w:color w:val="auto"/>
          <w:sz w:val="24"/>
          <w:highlight w:val="none"/>
        </w:rPr>
      </w:r>
      <w:r/>
    </w:p>
    <w:p>
      <w:pPr>
        <w:pStyle w:val="1364"/>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二、资格证明文件</w:t>
      </w:r>
      <w:r/>
    </w:p>
    <w:p>
      <w:pPr>
        <w:pStyle w:val="1103"/>
        <w:rPr>
          <w:color w:val="auto"/>
          <w:highlight w:val="none"/>
        </w:rPr>
      </w:pPr>
      <w:r>
        <w:rPr>
          <w:color w:val="auto"/>
          <w:highlight w:val="none"/>
        </w:rPr>
      </w:r>
      <w:r/>
    </w:p>
    <w:p>
      <w:pPr>
        <w:pStyle w:val="1103"/>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（一）营业执照和资质证书（若有）证明文件</w:t>
      </w:r>
      <w:r>
        <w:rPr>
          <w:rFonts w:ascii="Arial" w:hAnsi="Arial" w:eastAsia="仿宋_GB2312"/>
          <w:b/>
          <w:color w:val="auto"/>
          <w:sz w:val="28"/>
          <w:szCs w:val="28"/>
          <w:highlight w:val="none"/>
        </w:rPr>
        <w:t xml:space="preserve"> </w:t>
      </w:r>
      <w:r>
        <w:rPr>
          <w:rFonts w:hint="eastAsia" w:ascii="Arial" w:hAnsi="Arial" w:eastAsia="仿宋_GB2312"/>
          <w:b/>
          <w:color w:val="auto"/>
          <w:sz w:val="28"/>
          <w:szCs w:val="28"/>
          <w:highlight w:val="none"/>
        </w:rPr>
        <w:t xml:space="preserve">扫描件（加盖供应商公章）</w:t>
      </w:r>
      <w:r/>
    </w:p>
    <w:p>
      <w:pPr>
        <w:pStyle w:val="1104"/>
        <w:rPr>
          <w:color w:val="auto"/>
          <w:highlight w:val="none"/>
        </w:rPr>
      </w:pPr>
      <w:r>
        <w:rPr>
          <w:color w:val="auto"/>
          <w:highlight w:val="none"/>
        </w:rPr>
      </w:r>
      <w:r/>
    </w:p>
    <w:p>
      <w:pPr>
        <w:pStyle w:val="1103"/>
        <w:jc w:val="center"/>
        <w:spacing w:line="360" w:lineRule="exact"/>
        <w:rPr>
          <w:rFonts w:ascii="仿宋" w:hAnsi="仿宋" w:eastAsia="仿宋" w:cs="仿宋"/>
          <w:b/>
          <w:color w:val="auto"/>
          <w:sz w:val="28"/>
          <w:szCs w:val="28"/>
          <w:highlight w:val="none"/>
        </w:rPr>
        <w:outlineLvl w:val="1"/>
      </w:pPr>
      <w:r>
        <w:rPr>
          <w:rFonts w:hint="eastAsia" w:ascii="仿宋" w:hAnsi="仿宋" w:eastAsia="仿宋" w:cs="仿宋"/>
          <w:b/>
          <w:color w:val="auto"/>
          <w:sz w:val="28"/>
          <w:szCs w:val="28"/>
          <w:highlight w:val="none"/>
        </w:rPr>
        <w:t xml:space="preserve">（二）（供应商）关于资格的声明函</w:t>
      </w:r>
      <w:r/>
    </w:p>
    <w:p>
      <w:pPr>
        <w:pStyle w:val="110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3"/>
        <w:spacing w:line="400" w:lineRule="exact"/>
        <w:rPr>
          <w:rFonts w:ascii="仿宋" w:hAnsi="仿宋" w:eastAsia="仿宋"/>
          <w:b/>
          <w:bCs/>
          <w:color w:val="auto"/>
          <w:sz w:val="24"/>
          <w:highlight w:val="none"/>
        </w:rPr>
      </w:pPr>
      <w:r>
        <w:rPr>
          <w:rFonts w:hint="eastAsia" w:ascii="仿宋" w:hAnsi="仿宋" w:eastAsia="仿宋"/>
          <w:b/>
          <w:bCs/>
          <w:color w:val="auto"/>
          <w:sz w:val="24"/>
          <w:highlight w:val="none"/>
        </w:rPr>
        <w:t xml:space="preserve">泰州市靖江生态环境局</w:t>
      </w:r>
      <w:r>
        <w:rPr>
          <w:rFonts w:ascii="仿宋" w:hAnsi="仿宋" w:eastAsia="仿宋"/>
          <w:b/>
          <w:bCs/>
          <w:color w:val="auto"/>
          <w:sz w:val="24"/>
          <w:highlight w:val="none"/>
        </w:rPr>
        <w:t xml:space="preserve">：</w:t>
      </w:r>
      <w:r/>
    </w:p>
    <w:p>
      <w:pPr>
        <w:pStyle w:val="110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我公司（单位）参加本次的投标，作如下资格声明：</w:t>
      </w:r>
      <w:r/>
    </w:p>
    <w:p>
      <w:pPr>
        <w:pStyle w:val="110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1、我公司（单位）投标文件中所有关于投标资格的文件、证明、陈述均是真实的、准确的。</w:t>
      </w:r>
      <w:r/>
    </w:p>
    <w:p>
      <w:pPr>
        <w:pStyle w:val="110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2、我公司（单位）未被列入“信用中国”网站(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ascii="仿宋" w:hAnsi="仿宋" w:eastAsia="仿宋"/>
          <w:bCs/>
          <w:color w:val="auto"/>
          <w:sz w:val="24"/>
          <w:highlight w:val="none"/>
        </w:rPr>
        <w:t xml:space="preserve">www.creditchina.gov.cn</w:t>
      </w:r>
      <w:r>
        <w:rPr>
          <w:rFonts w:ascii="仿宋" w:hAnsi="仿宋" w:eastAsia="仿宋"/>
          <w:bCs/>
          <w:color w:val="auto"/>
          <w:sz w:val="24"/>
          <w:highlight w:val="none"/>
        </w:rPr>
        <w:fldChar w:fldCharType="end"/>
      </w:r>
      <w:r>
        <w:rPr>
          <w:rFonts w:ascii="仿宋" w:hAnsi="仿宋" w:eastAsia="仿宋"/>
          <w:bCs/>
          <w:color w:val="auto"/>
          <w:sz w:val="24"/>
          <w:highlight w:val="none"/>
        </w:rPr>
        <w:t xml:space="preserve">)、中国政府采购网(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ascii="仿宋" w:hAnsi="仿宋" w:eastAsia="仿宋"/>
          <w:bCs/>
          <w:color w:val="auto"/>
          <w:sz w:val="24"/>
          <w:highlight w:val="none"/>
        </w:rPr>
        <w:t xml:space="preserve">www.ccgp.gov.cn</w:t>
      </w:r>
      <w:r>
        <w:rPr>
          <w:rFonts w:ascii="仿宋" w:hAnsi="仿宋" w:eastAsia="仿宋"/>
          <w:bCs/>
          <w:color w:val="auto"/>
          <w:sz w:val="24"/>
          <w:highlight w:val="none"/>
        </w:rPr>
        <w:fldChar w:fldCharType="end"/>
      </w:r>
      <w:r>
        <w:rPr>
          <w:rFonts w:ascii="仿宋" w:hAnsi="仿宋" w:eastAsia="仿宋"/>
          <w:bCs/>
          <w:color w:val="auto"/>
          <w:sz w:val="24"/>
          <w:highlight w:val="none"/>
        </w:rPr>
        <w:t xml:space="preserve">)两渠道严重失信主体名单、政府采购严重违法失信行为记录名单。</w:t>
      </w:r>
      <w:r/>
    </w:p>
    <w:p>
      <w:pPr>
        <w:pStyle w:val="110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3、我公司（单位）不具有违反政府采购法第二十二条的情形。</w:t>
      </w:r>
      <w:r/>
    </w:p>
    <w:p>
      <w:pPr>
        <w:pStyle w:val="110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3"/>
        <w:ind w:firstLine="480"/>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若有违背，我公司（单位）</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愿意承担因“提供虚假材料谋取中标的”的一切法律后果。</w:t>
      </w:r>
      <w:r/>
    </w:p>
    <w:p>
      <w:pPr>
        <w:pStyle w:val="110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注：后附第2条查询记录文件。</w:t>
      </w:r>
      <w:r/>
    </w:p>
    <w:p>
      <w:pPr>
        <w:pStyle w:val="110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3"/>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103"/>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3"/>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10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3"/>
        <w:ind w:firstLine="3960"/>
        <w:spacing w:line="360" w:lineRule="exact"/>
        <w:rPr>
          <w:rFonts w:ascii="仿宋" w:hAnsi="仿宋" w:eastAsia="仿宋"/>
          <w:bCs/>
          <w:color w:val="auto"/>
          <w:sz w:val="24"/>
          <w:highlight w:val="none"/>
        </w:rPr>
      </w:pPr>
      <w:r>
        <w:rPr>
          <w:rFonts w:ascii="仿宋" w:hAnsi="仿宋" w:eastAsia="仿宋"/>
          <w:color w:val="auto"/>
          <w:sz w:val="24"/>
          <w:highlight w:val="none"/>
        </w:rPr>
        <w:t xml:space="preserve">日期：     年    月    日</w:t>
      </w:r>
      <w:r/>
    </w:p>
    <w:p>
      <w:pPr>
        <w:pStyle w:val="1103"/>
        <w:spacing w:line="3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1362"/>
        <w:jc w:val="center"/>
        <w:rPr>
          <w:rFonts w:ascii="仿宋" w:hAnsi="仿宋" w:eastAsia="仿宋" w:cs="仿宋"/>
          <w:b/>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cs="仿宋"/>
          <w:b/>
          <w:color w:val="auto"/>
          <w:sz w:val="28"/>
          <w:szCs w:val="28"/>
          <w:highlight w:val="none"/>
        </w:rPr>
        <w:t xml:space="preserve">（三）（供应商）基本资格条件承诺书（格式）</w:t>
      </w:r>
      <w:r/>
    </w:p>
    <w:p>
      <w:pPr>
        <w:jc w:val="center"/>
        <w:spacing w:line="500" w:lineRule="exact"/>
        <w:rPr>
          <w:rFonts w:ascii="仿宋" w:hAnsi="仿宋" w:eastAsia="仿宋" w:cs="仿宋"/>
          <w:b/>
          <w:color w:val="auto"/>
          <w:sz w:val="28"/>
          <w:szCs w:val="28"/>
          <w:highlight w:val="none"/>
        </w:rPr>
        <w:outlineLvl w:val="1"/>
      </w:pPr>
      <w:r>
        <w:rPr>
          <w:rFonts w:ascii="仿宋" w:hAnsi="仿宋" w:eastAsia="仿宋" w:cs="仿宋"/>
          <w:b/>
          <w:color w:val="auto"/>
          <w:sz w:val="28"/>
          <w:szCs w:val="28"/>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u w:val="single"/>
        </w:rPr>
        <w:t xml:space="preserve">     （采购人名称）     </w:t>
      </w:r>
      <w:r>
        <w:rPr>
          <w:rFonts w:hint="eastAsia" w:ascii="仿宋" w:hAnsi="仿宋" w:eastAsia="仿宋" w:cs="仿宋"/>
          <w:bCs/>
          <w:color w:val="auto"/>
          <w:sz w:val="24"/>
          <w:highlight w:val="none"/>
        </w:rPr>
        <w:t xml:space="preserve">：</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1.我公司具有良好的商业信誉和健全的财务制度；</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2.我公司具有履行合同所必须的设备和专业技术能力；</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3.我公司具有依法缴纳税收和社会保障资金的良好记录；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4.我公司参加政府采购活动前三年内，在经营活动中没有重大违法记录；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以上承诺内容真实准确，若有不实，自愿按照《中华人民共和国政府采购法》第七十七条规定，承担相应的法律责任。</w:t>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附相关证明材料（如有）</w:t>
      </w:r>
      <w:r/>
    </w:p>
    <w:p>
      <w:pPr>
        <w:pStyle w:val="1181"/>
        <w:ind w:firstLine="400"/>
        <w:rPr>
          <w:color w:val="auto"/>
          <w:highlight w:val="none"/>
        </w:rPr>
      </w:pPr>
      <w:r>
        <w:rPr>
          <w:color w:val="auto"/>
          <w:highlight w:val="none"/>
        </w:rPr>
      </w:r>
      <w:r/>
    </w:p>
    <w:p>
      <w:pPr>
        <w:rPr>
          <w:color w:val="auto"/>
          <w:highlight w:val="none"/>
        </w:rPr>
      </w:pPr>
      <w:r>
        <w:rPr>
          <w:color w:val="auto"/>
          <w:highlight w:val="none"/>
        </w:rPr>
      </w:r>
      <w:r/>
    </w:p>
    <w:p>
      <w:pPr>
        <w:pStyle w:val="1181"/>
        <w:ind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供应商名称(电子签章)：</w:t>
      </w:r>
      <w:r/>
    </w:p>
    <w:p>
      <w:pPr>
        <w:pStyle w:val="1181"/>
        <w:ind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法定代表人 (电子签章)：</w:t>
      </w:r>
      <w:r/>
    </w:p>
    <w:p>
      <w:pPr>
        <w:pStyle w:val="1181"/>
        <w:ind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日期：   年   月   日</w:t>
      </w:r>
      <w:r/>
    </w:p>
    <w:p>
      <w:pPr>
        <w:pStyle w:val="1362"/>
        <w:jc w:val="center"/>
        <w:rPr>
          <w:rFonts w:ascii="Arial" w:hAnsi="Arial" w:eastAsia="仿宋_GB2312"/>
          <w:b/>
          <w:color w:val="auto"/>
          <w:sz w:val="28"/>
          <w:szCs w:val="28"/>
          <w:highlight w:val="none"/>
        </w:rPr>
      </w:pPr>
      <w:r>
        <w:rPr>
          <w:rFonts w:hint="eastAsia" w:ascii="仿宋" w:hAnsi="仿宋" w:eastAsia="仿宋"/>
          <w:bCs/>
          <w:color w:val="auto"/>
          <w:sz w:val="28"/>
          <w:szCs w:val="28"/>
          <w:highlight w:val="none"/>
        </w:rPr>
        <w:br w:type="page" w:clear="all"/>
      </w:r>
      <w:r>
        <w:rPr>
          <w:rFonts w:hint="eastAsia" w:ascii="Arial" w:hAnsi="Arial" w:eastAsia="仿宋_GB2312"/>
          <w:b/>
          <w:color w:val="auto"/>
          <w:sz w:val="28"/>
          <w:szCs w:val="28"/>
          <w:highlight w:val="none"/>
        </w:rPr>
        <w:t xml:space="preserve">（四）声明函</w:t>
      </w:r>
      <w:r/>
    </w:p>
    <w:p>
      <w:pPr>
        <w:pStyle w:val="1103"/>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4-1</w:t>
      </w:r>
      <w:r>
        <w:rPr>
          <w:rFonts w:ascii="Arial" w:hAnsi="Arial" w:eastAsia="仿宋_GB2312"/>
          <w:b/>
          <w:color w:val="auto"/>
          <w:sz w:val="28"/>
          <w:szCs w:val="28"/>
          <w:highlight w:val="none"/>
        </w:rPr>
        <w:t xml:space="preserve">中小企业声明函</w:t>
      </w:r>
      <w:r>
        <w:rPr>
          <w:rFonts w:hint="eastAsia" w:ascii="Arial" w:hAnsi="Arial" w:eastAsia="仿宋_GB2312"/>
          <w:b/>
          <w:color w:val="auto"/>
          <w:sz w:val="28"/>
          <w:szCs w:val="28"/>
          <w:highlight w:val="none"/>
        </w:rPr>
        <w:t xml:space="preserve">（工程、服务）</w:t>
      </w:r>
      <w:r/>
    </w:p>
    <w:p>
      <w:pPr>
        <w:pStyle w:val="1103"/>
        <w:jc w:val="center"/>
        <w:spacing w:line="360" w:lineRule="exact"/>
        <w:rPr>
          <w:rFonts w:ascii="仿宋" w:hAnsi="仿宋" w:eastAsia="仿宋"/>
          <w:color w:val="auto"/>
          <w:highlight w:val="none"/>
        </w:rPr>
      </w:pPr>
      <w:r>
        <w:rPr>
          <w:rFonts w:ascii="仿宋" w:hAnsi="仿宋" w:eastAsia="仿宋"/>
          <w:color w:val="auto"/>
          <w:highlight w:val="none"/>
        </w:rPr>
      </w:r>
      <w:r/>
    </w:p>
    <w:p>
      <w:pPr>
        <w:pStyle w:val="1103"/>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本公司（联合体）郑重声明，根据《政府采购促进中小企业发展管理办法》（财库﹝2020﹞46 号）的规定，本公司（联合体）参加</w:t>
      </w:r>
      <w:r>
        <w:rPr>
          <w:rFonts w:ascii="仿宋" w:hAnsi="仿宋" w:eastAsia="仿宋"/>
          <w:bCs/>
          <w:color w:val="auto"/>
          <w:sz w:val="24"/>
          <w:highlight w:val="none"/>
          <w:u w:val="single"/>
        </w:rPr>
        <w:t xml:space="preserve">        （单位名称）</w:t>
      </w:r>
      <w:r>
        <w:rPr>
          <w:rFonts w:ascii="仿宋" w:hAnsi="仿宋" w:eastAsia="仿宋"/>
          <w:bCs/>
          <w:color w:val="auto"/>
          <w:sz w:val="24"/>
          <w:highlight w:val="none"/>
        </w:rPr>
        <w:t xml:space="preserve">的</w:t>
      </w:r>
      <w:r>
        <w:rPr>
          <w:rFonts w:ascii="仿宋" w:hAnsi="仿宋" w:eastAsia="仿宋"/>
          <w:bCs/>
          <w:color w:val="auto"/>
          <w:sz w:val="24"/>
          <w:highlight w:val="none"/>
          <w:u w:val="single"/>
        </w:rPr>
        <w:t xml:space="preserve">         （项目名称）</w:t>
      </w:r>
      <w:r>
        <w:rPr>
          <w:rFonts w:ascii="仿宋" w:hAnsi="仿宋" w:eastAsia="仿宋"/>
          <w:bCs/>
          <w:color w:val="auto"/>
          <w:sz w:val="24"/>
          <w:highlight w:val="none"/>
        </w:rPr>
        <w:t xml:space="preserve">采购活动，</w:t>
      </w:r>
      <w:r>
        <w:rPr>
          <w:rFonts w:hint="eastAsia" w:ascii="仿宋" w:hAnsi="仿宋" w:eastAsia="仿宋"/>
          <w:bCs/>
          <w:color w:val="auto"/>
          <w:sz w:val="24"/>
          <w:highlight w:val="none"/>
        </w:rPr>
        <w:t xml:space="preserve">工程的施工单位全部为符合</w:t>
      </w:r>
      <w:r>
        <w:rPr>
          <w:rFonts w:ascii="仿宋" w:hAnsi="仿宋" w:eastAsia="仿宋"/>
          <w:bCs/>
          <w:color w:val="auto"/>
          <w:sz w:val="24"/>
          <w:highlight w:val="none"/>
        </w:rPr>
        <w:t xml:space="preserve">中小企业</w:t>
      </w:r>
      <w:r>
        <w:rPr>
          <w:rFonts w:hint="eastAsia" w:ascii="仿宋" w:hAnsi="仿宋" w:eastAsia="仿宋"/>
          <w:bCs/>
          <w:color w:val="auto"/>
          <w:sz w:val="24"/>
          <w:highlight w:val="none"/>
        </w:rPr>
        <w:t xml:space="preserve">（或者：服务全部由符合政策要求的中小企业承接</w:t>
      </w:r>
      <w:r>
        <w:rPr>
          <w:rFonts w:ascii="仿宋" w:hAnsi="仿宋" w:eastAsia="仿宋"/>
          <w:bCs/>
          <w:color w:val="auto"/>
          <w:sz w:val="24"/>
          <w:highlight w:val="none"/>
        </w:rPr>
        <w:t xml:space="preserve">）。相关企业（含联合体中的中小企业、签订分包意向协议的中小企业）的具体情况如下：</w:t>
      </w:r>
      <w:r/>
    </w:p>
    <w:p>
      <w:pPr>
        <w:pStyle w:val="1103"/>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1.</w:t>
      </w:r>
      <w:r>
        <w:rPr>
          <w:rFonts w:ascii="仿宋" w:hAnsi="仿宋" w:eastAsia="仿宋"/>
          <w:bCs/>
          <w:color w:val="auto"/>
          <w:sz w:val="24"/>
          <w:highlight w:val="none"/>
          <w:u w:val="single"/>
        </w:rPr>
        <w:t xml:space="preserve">        （标的名称）</w:t>
      </w:r>
      <w:r>
        <w:rPr>
          <w:rFonts w:ascii="仿宋" w:hAnsi="仿宋" w:eastAsia="仿宋"/>
          <w:bCs/>
          <w:color w:val="auto"/>
          <w:sz w:val="24"/>
          <w:highlight w:val="none"/>
        </w:rPr>
        <w:t xml:space="preserve">，属于</w:t>
      </w:r>
      <w:r>
        <w:rPr>
          <w:rFonts w:ascii="仿宋" w:hAnsi="仿宋" w:eastAsia="仿宋"/>
          <w:bCs/>
          <w:color w:val="auto"/>
          <w:sz w:val="24"/>
          <w:highlight w:val="none"/>
          <w:u w:val="single"/>
        </w:rPr>
        <w:t xml:space="preserve">    </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u w:val="single"/>
        </w:rPr>
        <w:t xml:space="preserve">（采购文件中明确的所属行业）</w:t>
      </w:r>
      <w:r>
        <w:rPr>
          <w:rFonts w:ascii="仿宋" w:hAnsi="仿宋" w:eastAsia="仿宋"/>
          <w:bCs/>
          <w:color w:val="auto"/>
          <w:sz w:val="24"/>
          <w:highlight w:val="none"/>
        </w:rPr>
        <w:t xml:space="preserve">；承建（承接）企业为</w:t>
      </w:r>
      <w:r>
        <w:rPr>
          <w:rFonts w:ascii="仿宋" w:hAnsi="仿宋" w:eastAsia="仿宋"/>
          <w:bCs/>
          <w:color w:val="auto"/>
          <w:sz w:val="24"/>
          <w:highlight w:val="none"/>
          <w:u w:val="single"/>
        </w:rPr>
        <w:t xml:space="preserve">         （企业名称）</w:t>
      </w:r>
      <w:r>
        <w:rPr>
          <w:rFonts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rPr>
        <w:t xml:space="preserve">万元，资产总额为</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万元</w:t>
      </w:r>
      <w:r>
        <w:rPr>
          <w:rFonts w:hint="eastAsia" w:ascii="仿宋" w:hAnsi="仿宋" w:eastAsia="仿宋" w:cs="仿宋"/>
          <w:bCs/>
          <w:color w:val="auto"/>
          <w:sz w:val="24"/>
          <w:highlight w:val="none"/>
          <w:vertAlign w:val="superscript"/>
        </w:rPr>
        <w:t xml:space="preserve">1</w:t>
      </w:r>
      <w:r>
        <w:rPr>
          <w:rFonts w:ascii="仿宋" w:hAnsi="仿宋" w:eastAsia="仿宋"/>
          <w:bCs/>
          <w:color w:val="auto"/>
          <w:sz w:val="24"/>
          <w:highlight w:val="none"/>
        </w:rPr>
        <w:t xml:space="preserve">，属于</w:t>
      </w:r>
      <w:r>
        <w:rPr>
          <w:rFonts w:ascii="仿宋" w:hAnsi="仿宋" w:eastAsia="仿宋"/>
          <w:bCs/>
          <w:color w:val="auto"/>
          <w:sz w:val="24"/>
          <w:highlight w:val="none"/>
          <w:u w:val="single"/>
        </w:rPr>
        <w:t xml:space="preserve">     （中型企业、小型企业、微型企业）</w:t>
      </w:r>
      <w:r>
        <w:rPr>
          <w:rFonts w:ascii="仿宋" w:hAnsi="仿宋" w:eastAsia="仿宋"/>
          <w:bCs/>
          <w:color w:val="auto"/>
          <w:sz w:val="24"/>
          <w:highlight w:val="none"/>
        </w:rPr>
        <w:t xml:space="preserve">；</w:t>
      </w:r>
      <w:r/>
    </w:p>
    <w:p>
      <w:pPr>
        <w:pStyle w:val="1103"/>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2.</w:t>
      </w:r>
      <w:r>
        <w:rPr>
          <w:rFonts w:ascii="仿宋" w:hAnsi="仿宋" w:eastAsia="仿宋"/>
          <w:bCs/>
          <w:color w:val="auto"/>
          <w:sz w:val="24"/>
          <w:highlight w:val="none"/>
          <w:u w:val="single"/>
        </w:rPr>
        <w:t xml:space="preserve">     </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u w:val="single"/>
        </w:rPr>
        <w:t xml:space="preserve"> （标的名称）</w:t>
      </w:r>
      <w:r>
        <w:rPr>
          <w:rFonts w:ascii="仿宋" w:hAnsi="仿宋" w:eastAsia="仿宋"/>
          <w:bCs/>
          <w:color w:val="auto"/>
          <w:sz w:val="24"/>
          <w:highlight w:val="none"/>
        </w:rPr>
        <w:t xml:space="preserve">，属于</w:t>
      </w:r>
      <w:r>
        <w:rPr>
          <w:rFonts w:ascii="仿宋" w:hAnsi="仿宋" w:eastAsia="仿宋"/>
          <w:bCs/>
          <w:color w:val="auto"/>
          <w:sz w:val="24"/>
          <w:highlight w:val="none"/>
          <w:u w:val="single"/>
        </w:rPr>
        <w:t xml:space="preserve">      </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u w:val="single"/>
        </w:rPr>
        <w:t xml:space="preserve">  （采购文件中明确的所属行业）</w:t>
      </w:r>
      <w:r>
        <w:rPr>
          <w:rFonts w:ascii="仿宋" w:hAnsi="仿宋" w:eastAsia="仿宋"/>
          <w:bCs/>
          <w:color w:val="auto"/>
          <w:sz w:val="24"/>
          <w:highlight w:val="none"/>
        </w:rPr>
        <w:t xml:space="preserve">；承建（承接）为</w:t>
      </w:r>
      <w:r>
        <w:rPr>
          <w:rFonts w:ascii="仿宋" w:hAnsi="仿宋" w:eastAsia="仿宋"/>
          <w:bCs/>
          <w:color w:val="auto"/>
          <w:sz w:val="24"/>
          <w:highlight w:val="none"/>
          <w:u w:val="single"/>
        </w:rPr>
        <w:t xml:space="preserve">            （企业名称）</w:t>
      </w:r>
      <w:r>
        <w:rPr>
          <w:rFonts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rPr>
        <w:t xml:space="preserve">万元，属于</w:t>
      </w:r>
      <w:r>
        <w:rPr>
          <w:rFonts w:ascii="仿宋" w:hAnsi="仿宋" w:eastAsia="仿宋"/>
          <w:bCs/>
          <w:color w:val="auto"/>
          <w:sz w:val="24"/>
          <w:highlight w:val="none"/>
          <w:u w:val="single"/>
        </w:rPr>
        <w:t xml:space="preserve">     （中型企业、小型企业、微型企业）</w:t>
      </w:r>
      <w:r>
        <w:rPr>
          <w:rFonts w:ascii="仿宋" w:hAnsi="仿宋" w:eastAsia="仿宋"/>
          <w:bCs/>
          <w:color w:val="auto"/>
          <w:sz w:val="24"/>
          <w:highlight w:val="none"/>
        </w:rPr>
        <w:t xml:space="preserve">；</w:t>
      </w:r>
      <w:r/>
    </w:p>
    <w:p>
      <w:pPr>
        <w:pStyle w:val="1103"/>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w:t>
      </w:r>
      <w:r/>
    </w:p>
    <w:p>
      <w:pPr>
        <w:pStyle w:val="1103"/>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104"/>
        <w:rPr>
          <w:color w:val="auto"/>
          <w:highlight w:val="none"/>
        </w:rPr>
      </w:pPr>
      <w:r>
        <w:rPr>
          <w:color w:val="auto"/>
          <w:highlight w:val="none"/>
        </w:rPr>
      </w:r>
      <w:r/>
    </w:p>
    <w:p>
      <w:pPr>
        <w:pStyle w:val="1103"/>
        <w:rPr>
          <w:color w:val="auto"/>
          <w:highlight w:val="none"/>
        </w:rPr>
      </w:pPr>
      <w:r>
        <w:rPr>
          <w:color w:val="auto"/>
          <w:highlight w:val="none"/>
        </w:rPr>
      </w:r>
      <w:r/>
    </w:p>
    <w:p>
      <w:pPr>
        <w:pStyle w:val="1103"/>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103"/>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以上企业，不属于大企业的分支机构，不存在控股股东为大企业的情形，也不存在与大企业的负责人为同一人的情形。</w:t>
      </w:r>
      <w:r/>
    </w:p>
    <w:p>
      <w:pPr>
        <w:pStyle w:val="1103"/>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本企业对上述声明内容的真实性负责。如有虚假，将依法承担相应责任。</w:t>
      </w:r>
      <w:r/>
    </w:p>
    <w:p>
      <w:pPr>
        <w:pStyle w:val="1104"/>
        <w:rPr>
          <w:color w:val="auto"/>
          <w:highlight w:val="none"/>
        </w:rPr>
      </w:pPr>
      <w:r>
        <w:rPr>
          <w:color w:val="auto"/>
          <w:highlight w:val="none"/>
        </w:rPr>
      </w:r>
      <w:r/>
    </w:p>
    <w:p>
      <w:pPr>
        <w:pStyle w:val="1103"/>
        <w:ind w:firstLine="480"/>
        <w:spacing w:line="300" w:lineRule="auto"/>
        <w:rPr>
          <w:rFonts w:ascii="宋体" w:hAnsi="宋体"/>
          <w:bCs/>
          <w:color w:val="auto"/>
          <w:sz w:val="24"/>
          <w:highlight w:val="none"/>
        </w:rPr>
      </w:pPr>
      <w:r>
        <w:rPr>
          <w:rFonts w:ascii="宋体" w:hAnsi="宋体"/>
          <w:bCs/>
          <w:color w:val="auto"/>
          <w:sz w:val="24"/>
          <w:highlight w:val="none"/>
        </w:rPr>
        <w:t xml:space="preserve"> </w:t>
      </w:r>
      <w:r/>
    </w:p>
    <w:p>
      <w:pPr>
        <w:pStyle w:val="1103"/>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1103"/>
        <w:ind w:firstLine="480"/>
        <w:spacing w:line="300" w:lineRule="auto"/>
        <w:rPr>
          <w:rFonts w:ascii="仿宋" w:hAnsi="仿宋" w:eastAsia="仿宋"/>
          <w:bCs/>
          <w:color w:val="auto"/>
          <w:sz w:val="24"/>
          <w:highlight w:val="none"/>
        </w:rPr>
      </w:pPr>
      <w:r>
        <w:rPr>
          <w:rFonts w:ascii="宋体" w:hAnsi="宋体"/>
          <w:bCs/>
          <w:color w:val="auto"/>
          <w:sz w:val="24"/>
          <w:highlight w:val="none"/>
        </w:rPr>
        <w:t xml:space="preserve"> </w:t>
      </w:r>
      <w:r/>
    </w:p>
    <w:p>
      <w:pPr>
        <w:pStyle w:val="1103"/>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日 期：</w:t>
      </w:r>
      <w:r/>
    </w:p>
    <w:p>
      <w:pPr>
        <w:pStyle w:val="1103"/>
        <w:ind w:firstLine="480"/>
        <w:spacing w:line="300" w:lineRule="auto"/>
        <w:rPr>
          <w:rFonts w:ascii="仿宋" w:hAnsi="仿宋" w:eastAsia="仿宋"/>
          <w:bCs/>
          <w:color w:val="auto"/>
          <w:sz w:val="24"/>
          <w:highlight w:val="none"/>
        </w:rPr>
      </w:pPr>
      <w:r>
        <w:rPr>
          <w:rFonts w:ascii="宋体" w:hAnsi="宋体"/>
          <w:bCs/>
          <w:color w:val="auto"/>
          <w:sz w:val="24"/>
          <w:highlight w:val="none"/>
        </w:rPr>
        <w:t xml:space="preserve"> </w:t>
      </w:r>
      <w:r/>
    </w:p>
    <w:p>
      <w:pPr>
        <w:pStyle w:val="1103"/>
        <w:spacing w:line="300" w:lineRule="auto"/>
        <w:rPr>
          <w:rFonts w:ascii="仿宋" w:hAnsi="仿宋" w:eastAsia="仿宋"/>
          <w:b/>
          <w:color w:val="auto"/>
          <w:sz w:val="24"/>
          <w:highlight w:val="none"/>
        </w:rPr>
      </w:pPr>
      <w:r>
        <w:rPr>
          <w:rFonts w:ascii="仿宋" w:hAnsi="仿宋" w:eastAsia="仿宋"/>
          <w:b/>
          <w:color w:val="auto"/>
          <w:sz w:val="24"/>
          <w:highlight w:val="none"/>
        </w:rPr>
      </w:r>
      <w:r/>
    </w:p>
    <w:p>
      <w:pPr>
        <w:pStyle w:val="1103"/>
        <w:spacing w:line="300" w:lineRule="auto"/>
        <w:rPr>
          <w:rFonts w:ascii="仿宋" w:hAnsi="仿宋" w:eastAsia="仿宋"/>
          <w:b/>
          <w:color w:val="auto"/>
          <w:sz w:val="24"/>
          <w:highlight w:val="none"/>
        </w:rPr>
      </w:pPr>
      <w:r>
        <w:rPr>
          <w:rFonts w:ascii="仿宋" w:hAnsi="仿宋" w:eastAsia="仿宋"/>
          <w:b/>
          <w:color w:val="auto"/>
          <w:sz w:val="24"/>
          <w:highlight w:val="none"/>
        </w:rPr>
        <w:t xml:space="preserve">注：1、从业人员、营业收入、资产总额填报上一年度数据，无上一年度数据的新成立企业可不填报。</w:t>
      </w:r>
      <w:r/>
    </w:p>
    <w:p>
      <w:pPr>
        <w:pStyle w:val="1103"/>
        <w:ind w:firstLine="482"/>
        <w:spacing w:line="300" w:lineRule="auto"/>
        <w:rPr>
          <w:rFonts w:ascii="仿宋" w:hAnsi="仿宋" w:eastAsia="仿宋"/>
          <w:b/>
          <w:color w:val="auto"/>
          <w:sz w:val="24"/>
          <w:highlight w:val="none"/>
        </w:rPr>
      </w:pPr>
      <w:r>
        <w:rPr>
          <w:rFonts w:hint="eastAsia" w:ascii="仿宋" w:hAnsi="仿宋" w:eastAsia="仿宋"/>
          <w:b/>
          <w:color w:val="auto"/>
          <w:sz w:val="24"/>
          <w:highlight w:val="none"/>
        </w:rPr>
        <w:t xml:space="preserve">2、</w:t>
      </w:r>
      <w:r>
        <w:rPr>
          <w:rFonts w:hint="eastAsia" w:ascii="仿宋" w:hAnsi="仿宋" w:eastAsia="仿宋" w:cs="仿宋"/>
          <w:b/>
          <w:bCs/>
          <w:color w:val="auto"/>
          <w:sz w:val="24"/>
          <w:highlight w:val="none"/>
        </w:rPr>
        <w:t xml:space="preserve">在服务采购项目中，服务由中小企业承接，即提供服务的人员为中小企业依照《中华人民共和国民法典》订立劳动合同的从业人员。</w:t>
      </w:r>
      <w:r>
        <w:rPr>
          <w:rFonts w:hint="eastAsia" w:ascii="仿宋" w:hAnsi="仿宋" w:eastAsia="仿宋" w:cs="仿宋"/>
          <w:b/>
          <w:bCs/>
          <w:color w:val="auto"/>
          <w:sz w:val="24"/>
          <w:highlight w:val="none"/>
          <w:u w:val="single"/>
        </w:rPr>
        <w:t xml:space="preserve">服务类项目中供应商若使用退休人员等未采用订立劳动合同的从业人员服务，将不享受相应扶持政策。</w:t>
      </w:r>
      <w:r/>
    </w:p>
    <w:p>
      <w:pPr>
        <w:pStyle w:val="1104"/>
        <w:rPr>
          <w:rFonts w:ascii="仿宋" w:hAnsi="仿宋" w:eastAsia="仿宋"/>
          <w:b/>
          <w:color w:val="auto"/>
          <w:highlight w:val="none"/>
        </w:rPr>
      </w:pPr>
      <w:r>
        <w:rPr>
          <w:rFonts w:ascii="仿宋" w:hAnsi="仿宋" w:eastAsia="仿宋"/>
          <w:b/>
          <w:color w:val="auto"/>
          <w:highlight w:val="none"/>
        </w:rPr>
      </w:r>
      <w:r/>
    </w:p>
    <w:p>
      <w:pPr>
        <w:pStyle w:val="1103"/>
        <w:rPr>
          <w:color w:val="auto"/>
          <w:highlight w:val="none"/>
        </w:rPr>
      </w:pPr>
      <w:r>
        <w:rPr>
          <w:color w:val="auto"/>
          <w:highlight w:val="none"/>
        </w:rPr>
      </w:r>
      <w:r/>
    </w:p>
    <w:p>
      <w:pPr>
        <w:pStyle w:val="1103"/>
        <w:rPr>
          <w:color w:val="auto"/>
          <w:highlight w:val="none"/>
        </w:rPr>
      </w:pPr>
      <w:r>
        <w:rPr>
          <w:color w:val="auto"/>
          <w:highlight w:val="none"/>
        </w:rPr>
      </w:r>
      <w:r/>
    </w:p>
    <w:p>
      <w:pPr>
        <w:pStyle w:val="1103"/>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-2、残疾人福利性单位声明函（若有）</w:t>
      </w:r>
      <w:r/>
    </w:p>
    <w:p>
      <w:pPr>
        <w:pStyle w:val="1103"/>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3"/>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本公司郑重声明，根据《财政部、民政部、中国残疾人联合会关于促进残疾人就业政府采购政策的通知》（财库[2017]141号）的规定，本公司为符合条件的残疾人福利性单位，且单位参加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单位的项目采购活动提供本单位制造的货物（由本单位承担工程/提供服务），或者提供其他残疾人福利性单位制造的货物（不包括使用非残疾人福利性单位注册商标的货物/服务）。</w:t>
      </w:r>
      <w:r/>
    </w:p>
    <w:p>
      <w:pPr>
        <w:pStyle w:val="1103"/>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1103"/>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3"/>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3"/>
        <w:ind w:firstLine="3840"/>
        <w:jc w:val="left"/>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1103"/>
        <w:ind w:firstLine="480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3"/>
        <w:ind w:firstLine="3840"/>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日　　期：</w:t>
      </w:r>
      <w:r/>
    </w:p>
    <w:p>
      <w:pPr>
        <w:pStyle w:val="1103"/>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103"/>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103"/>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103"/>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103"/>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-3、监狱和戒毒企业（监狱企业）声明函（若有）</w:t>
      </w:r>
      <w:r/>
    </w:p>
    <w:p>
      <w:pPr>
        <w:pStyle w:val="1103"/>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3"/>
        <w:ind w:firstLine="96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本公司郑重声明，根据财政部《关于政府采购支持监狱企业发展有关问题的通知》（财库[2014]68号）的规定，本公司为符合条件的监狱和戒毒企业（监狱企业），且单位参加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1103"/>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1104"/>
        <w:rPr>
          <w:color w:val="auto"/>
          <w:highlight w:val="none"/>
        </w:rPr>
      </w:pPr>
      <w:r>
        <w:rPr>
          <w:color w:val="auto"/>
          <w:highlight w:val="none"/>
        </w:rPr>
      </w:r>
      <w:r/>
    </w:p>
    <w:p>
      <w:pPr>
        <w:pStyle w:val="1103"/>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103"/>
        <w:ind w:firstLine="3840"/>
        <w:jc w:val="left"/>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1103"/>
        <w:ind w:firstLine="480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103"/>
        <w:ind w:firstLine="3840"/>
        <w:spacing w:line="300" w:lineRule="auto"/>
        <w:rPr>
          <w:rFonts w:ascii="仿宋" w:hAnsi="仿宋" w:eastAsia="仿宋"/>
          <w:bCs/>
          <w:color w:val="auto"/>
          <w:spacing w:val="20"/>
          <w:sz w:val="72"/>
          <w:highlight w:val="none"/>
        </w:rPr>
      </w:pPr>
      <w:r>
        <w:rPr>
          <w:rFonts w:ascii="仿宋" w:hAnsi="仿宋" w:eastAsia="仿宋"/>
          <w:bCs/>
          <w:color w:val="auto"/>
          <w:sz w:val="24"/>
          <w:highlight w:val="none"/>
        </w:rPr>
        <w:t xml:space="preserve">日　　期：</w:t>
      </w:r>
      <w:r/>
    </w:p>
    <w:p>
      <w:pPr>
        <w:pStyle w:val="1103"/>
        <w:rPr>
          <w:rFonts w:ascii="仿宋" w:hAnsi="仿宋" w:eastAsia="仿宋"/>
          <w:bCs/>
          <w:color w:val="auto"/>
          <w:spacing w:val="20"/>
          <w:sz w:val="72"/>
          <w:highlight w:val="none"/>
        </w:rPr>
      </w:pPr>
      <w:r>
        <w:rPr>
          <w:rFonts w:ascii="仿宋" w:hAnsi="仿宋" w:eastAsia="仿宋"/>
          <w:bCs/>
          <w:color w:val="auto"/>
          <w:spacing w:val="20"/>
          <w:sz w:val="72"/>
          <w:highlight w:val="none"/>
        </w:rPr>
      </w:r>
      <w:r/>
    </w:p>
    <w:p>
      <w:pPr>
        <w:pStyle w:val="1104"/>
        <w:rPr>
          <w:rFonts w:ascii="仿宋" w:hAnsi="仿宋" w:eastAsia="仿宋"/>
          <w:bCs/>
          <w:color w:val="auto"/>
          <w:spacing w:val="20"/>
          <w:sz w:val="72"/>
          <w:highlight w:val="none"/>
        </w:rPr>
      </w:pPr>
      <w:r>
        <w:rPr>
          <w:rFonts w:ascii="仿宋" w:hAnsi="仿宋" w:eastAsia="仿宋"/>
          <w:bCs/>
          <w:color w:val="auto"/>
          <w:spacing w:val="20"/>
          <w:sz w:val="72"/>
          <w:highlight w:val="none"/>
        </w:rPr>
      </w:r>
      <w:r/>
    </w:p>
    <w:p>
      <w:pPr>
        <w:pStyle w:val="1103"/>
      </w:pPr>
      <w:r/>
      <w:r/>
    </w:p>
    <w:p>
      <w:pPr>
        <w:jc w:val="center"/>
        <w:rPr>
          <w:rFonts w:ascii="Arial" w:hAnsi="Arial" w:eastAsia="仿宋_GB2312" w:cs="Arial"/>
          <w:b/>
          <w:color w:val="auto"/>
          <w:sz w:val="28"/>
          <w:szCs w:val="28"/>
          <w:highlight w:val="none"/>
        </w:rPr>
      </w:pPr>
      <w:r>
        <w:rPr>
          <w:rFonts w:hint="eastAsia" w:ascii="Arial" w:hAnsi="Arial" w:eastAsia="仿宋_GB2312" w:cs="Arial"/>
          <w:b/>
          <w:color w:val="auto"/>
          <w:sz w:val="28"/>
          <w:szCs w:val="28"/>
          <w:highlight w:val="none"/>
        </w:rPr>
        <w:t xml:space="preserve">4</w:t>
      </w:r>
      <w:r>
        <w:rPr>
          <w:rFonts w:hint="eastAsia" w:ascii="Arial" w:hAnsi="Arial" w:cs="Arial" w:eastAsiaTheme="minorEastAsia"/>
          <w:b/>
          <w:color w:val="auto"/>
          <w:sz w:val="28"/>
          <w:szCs w:val="28"/>
          <w:highlight w:val="none"/>
        </w:rPr>
        <w:t xml:space="preserve">-4</w:t>
      </w:r>
      <w:r>
        <w:rPr>
          <w:rFonts w:hint="eastAsia" w:ascii="Arial" w:hAnsi="Arial" w:eastAsia="仿宋_GB2312" w:cs="Arial"/>
          <w:b/>
          <w:color w:val="auto"/>
          <w:sz w:val="28"/>
          <w:szCs w:val="28"/>
          <w:highlight w:val="none"/>
        </w:rPr>
        <w:t xml:space="preserve">、关于符合本国产品标准的声明函</w:t>
      </w:r>
      <w:r/>
    </w:p>
    <w:p>
      <w:pPr>
        <w:jc w:val="center"/>
        <w:rPr>
          <w:rFonts w:ascii="Arial" w:hAnsi="Arial" w:eastAsia="仿宋_GB2312" w:cs="Arial"/>
          <w:b/>
          <w:color w:val="auto"/>
          <w:sz w:val="28"/>
          <w:szCs w:val="28"/>
          <w:highlight w:val="none"/>
        </w:rPr>
      </w:pPr>
      <w:r>
        <w:rPr>
          <w:rFonts w:ascii="Arial" w:hAnsi="Arial" w:eastAsia="仿宋_GB2312" w:cs="Arial"/>
          <w:b/>
          <w:color w:val="auto"/>
          <w:sz w:val="28"/>
          <w:szCs w:val="28"/>
          <w:highlight w:val="none"/>
        </w:rPr>
      </w:r>
      <w:r/>
    </w:p>
    <w:p>
      <w:pPr>
        <w:pStyle w:val="920"/>
        <w:ind w:firstLine="480"/>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0"/>
        <w:ind w:firstLine="480"/>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u w:val="single"/>
        </w:rPr>
        <w:t xml:space="preserve">（产品名称1）1</w:t>
      </w:r>
      <w:r>
        <w:rPr>
          <w:rFonts w:hint="eastAsia" w:ascii="仿宋" w:hAnsi="仿宋" w:eastAsia="仿宋" w:cs="仿宋"/>
          <w:color w:val="auto"/>
          <w:highlight w:val="none"/>
        </w:rPr>
        <w:t xml:space="preserve">，生产厂为</w:t>
      </w:r>
      <w:r>
        <w:rPr>
          <w:rFonts w:hint="eastAsia" w:ascii="仿宋" w:hAnsi="仿宋" w:eastAsia="仿宋" w:cs="仿宋"/>
          <w:color w:val="auto"/>
          <w:highlight w:val="none"/>
          <w:u w:val="single"/>
        </w:rPr>
        <w:t xml:space="preserve">（厂名）2</w:t>
      </w:r>
      <w:r>
        <w:rPr>
          <w:rFonts w:hint="eastAsia" w:ascii="仿宋" w:hAnsi="仿宋" w:eastAsia="仿宋" w:cs="仿宋"/>
          <w:color w:val="auto"/>
          <w:highlight w:val="none"/>
        </w:rPr>
        <w:t xml:space="preserve">，厂址为</w:t>
      </w:r>
      <w:r>
        <w:rPr>
          <w:rFonts w:hint="eastAsia" w:ascii="仿宋" w:hAnsi="仿宋" w:eastAsia="仿宋" w:cs="仿宋"/>
          <w:color w:val="auto"/>
          <w:highlight w:val="none"/>
          <w:u w:val="single"/>
        </w:rPr>
        <w:t xml:space="preserve">（生产厂址）</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（产品名称1）</w:t>
      </w:r>
      <w:r>
        <w:rPr>
          <w:rFonts w:hint="eastAsia" w:ascii="仿宋" w:hAnsi="仿宋" w:eastAsia="仿宋" w:cs="仿宋"/>
          <w:color w:val="auto"/>
          <w:highlight w:val="none"/>
        </w:rPr>
        <w:t xml:space="preserve">的中国境内生产的组件成本占比≥</w:t>
      </w:r>
      <w:r>
        <w:rPr>
          <w:rFonts w:hint="eastAsia" w:ascii="仿宋" w:hAnsi="仿宋" w:eastAsia="仿宋" w:cs="仿宋"/>
          <w:color w:val="auto"/>
          <w:highlight w:val="none"/>
          <w:u w:val="single"/>
        </w:rPr>
        <w:t xml:space="preserve">（规定比例）3</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（产品名称1）</w:t>
      </w:r>
      <w:r>
        <w:rPr>
          <w:rFonts w:hint="eastAsia" w:ascii="仿宋" w:hAnsi="仿宋" w:eastAsia="仿宋" w:cs="仿宋"/>
          <w:color w:val="auto"/>
          <w:highlight w:val="none"/>
        </w:rPr>
        <w:t xml:space="preserve">的</w:t>
      </w:r>
      <w:r>
        <w:rPr>
          <w:rFonts w:hint="eastAsia" w:ascii="仿宋" w:hAnsi="仿宋" w:eastAsia="仿宋" w:cs="仿宋"/>
          <w:color w:val="auto"/>
          <w:highlight w:val="none"/>
          <w:u w:val="single"/>
        </w:rPr>
        <w:t xml:space="preserve">（关键组件）4</w:t>
      </w:r>
      <w:r>
        <w:rPr>
          <w:rFonts w:hint="eastAsia" w:ascii="仿宋" w:hAnsi="仿宋" w:eastAsia="仿宋" w:cs="仿宋"/>
          <w:color w:val="auto"/>
          <w:highlight w:val="none"/>
        </w:rPr>
        <w:t xml:space="preserve">在中国境内生产。</w:t>
      </w:r>
      <w:r>
        <w:rPr>
          <w:rFonts w:hint="eastAsia" w:ascii="仿宋" w:hAnsi="仿宋" w:eastAsia="仿宋" w:cs="仿宋"/>
          <w:color w:val="auto"/>
          <w:highlight w:val="none"/>
          <w:u w:val="single"/>
        </w:rPr>
        <w:t xml:space="preserve">（产品名称1）</w:t>
      </w:r>
      <w:r>
        <w:rPr>
          <w:rFonts w:hint="eastAsia" w:ascii="仿宋" w:hAnsi="仿宋" w:eastAsia="仿宋" w:cs="仿宋"/>
          <w:color w:val="auto"/>
          <w:highlight w:val="none"/>
        </w:rPr>
        <w:t xml:space="preserve">的</w:t>
      </w:r>
      <w:r>
        <w:rPr>
          <w:rFonts w:hint="eastAsia" w:ascii="仿宋" w:hAnsi="仿宋" w:eastAsia="仿宋" w:cs="仿宋"/>
          <w:color w:val="auto"/>
          <w:highlight w:val="none"/>
          <w:u w:val="single"/>
        </w:rPr>
        <w:t xml:space="preserve">（关键工序）5</w:t>
      </w:r>
      <w:r>
        <w:rPr>
          <w:rFonts w:hint="eastAsia" w:ascii="仿宋" w:hAnsi="仿宋" w:eastAsia="仿宋" w:cs="仿宋"/>
          <w:color w:val="auto"/>
          <w:highlight w:val="none"/>
        </w:rPr>
        <w:t xml:space="preserve">在中国境内完成。</w:t>
      </w:r>
      <w:r/>
    </w:p>
    <w:p>
      <w:pPr>
        <w:pStyle w:val="920"/>
        <w:ind w:firstLine="480"/>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u w:val="single"/>
        </w:rPr>
        <w:t xml:space="preserve">（产品名称2）</w:t>
      </w:r>
      <w:r>
        <w:rPr>
          <w:rFonts w:hint="eastAsia" w:ascii="仿宋" w:hAnsi="仿宋" w:eastAsia="仿宋" w:cs="仿宋"/>
          <w:color w:val="auto"/>
          <w:highlight w:val="none"/>
        </w:rPr>
        <w:t xml:space="preserve">，生产厂为</w:t>
      </w:r>
      <w:r>
        <w:rPr>
          <w:rFonts w:hint="eastAsia" w:ascii="仿宋" w:hAnsi="仿宋" w:eastAsia="仿宋" w:cs="仿宋"/>
          <w:color w:val="auto"/>
          <w:highlight w:val="none"/>
          <w:u w:val="single"/>
        </w:rPr>
        <w:t xml:space="preserve">（厂名）</w:t>
      </w:r>
      <w:r>
        <w:rPr>
          <w:rFonts w:hint="eastAsia" w:ascii="仿宋" w:hAnsi="仿宋" w:eastAsia="仿宋" w:cs="仿宋"/>
          <w:color w:val="auto"/>
          <w:highlight w:val="none"/>
        </w:rPr>
        <w:t xml:space="preserve">，厂址为</w:t>
      </w:r>
      <w:r>
        <w:rPr>
          <w:rFonts w:hint="eastAsia" w:ascii="仿宋" w:hAnsi="仿宋" w:eastAsia="仿宋" w:cs="仿宋"/>
          <w:color w:val="auto"/>
          <w:highlight w:val="none"/>
          <w:u w:val="single"/>
        </w:rPr>
        <w:t xml:space="preserve">（生产厂址）</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（产品名称2）</w:t>
      </w:r>
      <w:r>
        <w:rPr>
          <w:rFonts w:hint="eastAsia" w:ascii="仿宋" w:hAnsi="仿宋" w:eastAsia="仿宋" w:cs="仿宋"/>
          <w:color w:val="auto"/>
          <w:highlight w:val="none"/>
        </w:rPr>
        <w:t xml:space="preserve">的中国境内生产的组件成本占比≥</w:t>
      </w:r>
      <w:r>
        <w:rPr>
          <w:rFonts w:hint="eastAsia" w:ascii="仿宋" w:hAnsi="仿宋" w:eastAsia="仿宋" w:cs="仿宋"/>
          <w:color w:val="auto"/>
          <w:highlight w:val="none"/>
          <w:u w:val="single"/>
        </w:rPr>
        <w:t xml:space="preserve">（规定比例）</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（产品名称2）</w:t>
      </w:r>
      <w:r>
        <w:rPr>
          <w:rFonts w:hint="eastAsia" w:ascii="仿宋" w:hAnsi="仿宋" w:eastAsia="仿宋" w:cs="仿宋"/>
          <w:color w:val="auto"/>
          <w:highlight w:val="none"/>
        </w:rPr>
        <w:t xml:space="preserve">的</w:t>
      </w:r>
      <w:r>
        <w:rPr>
          <w:rFonts w:hint="eastAsia" w:ascii="仿宋" w:hAnsi="仿宋" w:eastAsia="仿宋" w:cs="仿宋"/>
          <w:color w:val="auto"/>
          <w:highlight w:val="none"/>
          <w:u w:val="single"/>
        </w:rPr>
        <w:t xml:space="preserve">（关键组件）</w:t>
      </w:r>
      <w:r>
        <w:rPr>
          <w:rFonts w:hint="eastAsia" w:ascii="仿宋" w:hAnsi="仿宋" w:eastAsia="仿宋" w:cs="仿宋"/>
          <w:color w:val="auto"/>
          <w:highlight w:val="none"/>
        </w:rPr>
        <w:t xml:space="preserve">在中国境内生产。</w:t>
      </w:r>
      <w:r>
        <w:rPr>
          <w:rFonts w:hint="eastAsia" w:ascii="仿宋" w:hAnsi="仿宋" w:eastAsia="仿宋" w:cs="仿宋"/>
          <w:color w:val="auto"/>
          <w:highlight w:val="none"/>
          <w:u w:val="single"/>
        </w:rPr>
        <w:t xml:space="preserve">（产品名称2）</w:t>
      </w:r>
      <w:r>
        <w:rPr>
          <w:rFonts w:hint="eastAsia" w:ascii="仿宋" w:hAnsi="仿宋" w:eastAsia="仿宋" w:cs="仿宋"/>
          <w:color w:val="auto"/>
          <w:highlight w:val="none"/>
        </w:rPr>
        <w:t xml:space="preserve">的</w:t>
      </w:r>
      <w:r>
        <w:rPr>
          <w:rFonts w:hint="eastAsia" w:ascii="仿宋" w:hAnsi="仿宋" w:eastAsia="仿宋" w:cs="仿宋"/>
          <w:color w:val="auto"/>
          <w:highlight w:val="none"/>
          <w:u w:val="single"/>
        </w:rPr>
        <w:t xml:space="preserve">（关键工序）</w:t>
      </w:r>
      <w:r>
        <w:rPr>
          <w:rFonts w:hint="eastAsia" w:ascii="仿宋" w:hAnsi="仿宋" w:eastAsia="仿宋" w:cs="仿宋"/>
          <w:color w:val="auto"/>
          <w:highlight w:val="none"/>
        </w:rPr>
        <w:t xml:space="preserve">在中国境内完成。</w:t>
      </w:r>
      <w:r/>
    </w:p>
    <w:p>
      <w:pPr>
        <w:pStyle w:val="920"/>
        <w:ind w:firstLine="480"/>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w:t>
      </w:r>
      <w:r/>
    </w:p>
    <w:p>
      <w:pPr>
        <w:pStyle w:val="920"/>
        <w:ind w:firstLine="480"/>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本公司（单位）对上述声明内容的真实性负责。如有虚假，愿承担相应法律责任。</w:t>
      </w:r>
      <w:r/>
    </w:p>
    <w:p>
      <w:pPr>
        <w:pStyle w:val="920"/>
        <w:ind w:firstLine="480"/>
        <w:spacing w:before="0" w:beforeAutospacing="0" w:after="0" w:afterAutospacing="0" w:line="360" w:lineRule="auto"/>
        <w:rPr>
          <w:rFonts w:ascii="仿宋" w:hAnsi="仿宋" w:eastAsia="仿宋" w:cs="仿宋"/>
          <w:color w:val="auto"/>
          <w:highlight w:val="none"/>
        </w:rPr>
      </w:pPr>
      <w:r>
        <w:rPr>
          <w:rFonts w:ascii="仿宋" w:hAnsi="仿宋" w:eastAsia="仿宋" w:cs="仿宋"/>
          <w:color w:val="auto"/>
          <w:highlight w:val="none"/>
        </w:rPr>
      </w:r>
      <w:r/>
    </w:p>
    <w:p>
      <w:pPr>
        <w:pStyle w:val="920"/>
        <w:jc w:val="right"/>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        公司（单位）名称（盖章）：　</w:t>
      </w:r>
      <w:r/>
    </w:p>
    <w:p>
      <w:pPr>
        <w:pStyle w:val="920"/>
        <w:ind w:right="460"/>
        <w:jc w:val="right"/>
        <w:spacing w:before="0" w:beforeAutospacing="0" w:after="0" w:afterAutospacing="0" w:line="360" w:lineRule="auto"/>
        <w:rPr>
          <w:rFonts w:ascii="仿宋" w:hAnsi="仿宋" w:eastAsia="仿宋" w:cs="仿宋"/>
          <w:color w:val="auto"/>
          <w:highlight w:val="none"/>
        </w:rPr>
      </w:pPr>
      <w:r>
        <w:rPr>
          <w:rFonts w:ascii="仿宋" w:hAnsi="仿宋" w:eastAsia="仿宋" w:cs="仿宋"/>
          <w:color w:val="auto"/>
          <w:highlight w:val="none"/>
        </w:rPr>
      </w:r>
      <w:r/>
    </w:p>
    <w:p>
      <w:pPr>
        <w:pStyle w:val="920"/>
        <w:ind w:right="460"/>
        <w:jc w:val="right"/>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日期：   年　 月   日</w:t>
      </w:r>
      <w:r/>
    </w:p>
    <w:p>
      <w:pPr>
        <w:pStyle w:val="920"/>
        <w:ind w:firstLine="480"/>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1.产品如有型号，请在“产品名称”栏一并填写。</w:t>
      </w:r>
      <w:r/>
    </w:p>
    <w:p>
      <w:pPr>
        <w:pStyle w:val="920"/>
        <w:ind w:firstLine="480"/>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2.生产厂名与厂址应与生产厂营业执照载明的相关信息保持一致。</w:t>
      </w:r>
      <w:r/>
    </w:p>
    <w:p>
      <w:pPr>
        <w:pStyle w:val="920"/>
        <w:ind w:firstLine="480"/>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3.该产品的中国境内生产的组件成本占比相关要求实施前，“规定比例”栏可不填，下同。</w:t>
      </w:r>
      <w:r/>
    </w:p>
    <w:p>
      <w:pPr>
        <w:pStyle w:val="920"/>
        <w:ind w:firstLine="480"/>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4.该产品的关键组件要求实施前，“关键组件”栏可不填，下同。</w:t>
      </w:r>
      <w:r/>
    </w:p>
    <w:p>
      <w:pPr>
        <w:pStyle w:val="1104"/>
        <w:spacing w:before="240"/>
        <w:rPr>
          <w:color w:val="auto"/>
          <w:highlight w:val="none"/>
        </w:rPr>
      </w:pPr>
      <w:r>
        <w:rPr>
          <w:rFonts w:hint="eastAsia" w:ascii="仿宋" w:hAnsi="仿宋" w:eastAsia="仿宋" w:cs="仿宋"/>
          <w:color w:val="auto"/>
          <w:highlight w:val="none"/>
        </w:rPr>
        <w:t xml:space="preserve">5.该产品的关键工序要求实施前，“关键工序”栏可不填，下同。</w:t>
      </w:r>
      <w:bookmarkStart w:id="165" w:name="_GoBack"/>
      <w:r/>
      <w:bookmarkEnd w:id="165"/>
      <w:r/>
      <w:r/>
    </w:p>
    <w:p>
      <w:pPr>
        <w:pStyle w:val="1103"/>
        <w:rPr>
          <w:color w:val="auto"/>
          <w:highlight w:val="none"/>
        </w:rPr>
      </w:pPr>
      <w:r>
        <w:rPr>
          <w:color w:val="auto"/>
          <w:highlight w:val="none"/>
        </w:rPr>
      </w:r>
      <w:r/>
    </w:p>
    <w:p>
      <w:pPr>
        <w:pStyle w:val="1104"/>
        <w:rPr>
          <w:color w:val="auto"/>
          <w:highlight w:val="none"/>
        </w:rPr>
      </w:pPr>
      <w:r>
        <w:rPr>
          <w:color w:val="auto"/>
          <w:highlight w:val="none"/>
        </w:rPr>
      </w:r>
      <w:r/>
    </w:p>
    <w:p>
      <w:pPr>
        <w:pStyle w:val="1103"/>
        <w:jc w:val="center"/>
        <w:spacing w:line="360" w:lineRule="auto"/>
        <w:rPr>
          <w:rFonts w:hint="eastAsia" w:ascii="Arial" w:hAnsi="Arial" w:eastAsia="仿宋_GB2312"/>
          <w:b/>
          <w:bCs/>
          <w:color w:val="auto"/>
          <w:sz w:val="32"/>
          <w:szCs w:val="32"/>
          <w:highlight w:val="none"/>
        </w:rPr>
      </w:pPr>
      <w:r>
        <w:rPr>
          <w:rFonts w:hint="eastAsia" w:ascii="Arial" w:hAnsi="Arial" w:eastAsia="仿宋_GB2312"/>
          <w:b/>
          <w:bCs/>
          <w:color w:val="auto"/>
          <w:sz w:val="32"/>
          <w:szCs w:val="32"/>
          <w:highlight w:val="none"/>
        </w:rPr>
      </w:r>
      <w:r/>
    </w:p>
    <w:p>
      <w:pPr>
        <w:pStyle w:val="1103"/>
        <w:jc w:val="center"/>
        <w:spacing w:line="360" w:lineRule="auto"/>
        <w:rPr>
          <w:rFonts w:hint="eastAsia" w:ascii="Arial" w:hAnsi="Arial" w:eastAsia="仿宋_GB2312"/>
          <w:b/>
          <w:bCs/>
          <w:color w:val="auto"/>
          <w:sz w:val="32"/>
          <w:szCs w:val="32"/>
          <w:highlight w:val="none"/>
        </w:rPr>
      </w:pPr>
      <w:r>
        <w:rPr>
          <w:rFonts w:hint="eastAsia" w:ascii="Arial" w:hAnsi="Arial" w:eastAsia="仿宋_GB2312"/>
          <w:b/>
          <w:bCs/>
          <w:color w:val="auto"/>
          <w:sz w:val="32"/>
          <w:szCs w:val="32"/>
          <w:highlight w:val="none"/>
        </w:rPr>
      </w:r>
      <w:r/>
    </w:p>
    <w:p>
      <w:pPr>
        <w:pStyle w:val="1103"/>
        <w:jc w:val="center"/>
        <w:spacing w:line="360" w:lineRule="auto"/>
        <w:rPr>
          <w:rFonts w:hint="eastAsia" w:ascii="Arial" w:hAnsi="Arial" w:eastAsia="仿宋_GB2312"/>
          <w:b/>
          <w:bCs/>
          <w:color w:val="auto"/>
          <w:sz w:val="32"/>
          <w:szCs w:val="32"/>
          <w:highlight w:val="none"/>
        </w:rPr>
      </w:pPr>
      <w:r>
        <w:rPr>
          <w:rFonts w:hint="eastAsia" w:ascii="Arial" w:hAnsi="Arial" w:eastAsia="仿宋_GB2312"/>
          <w:b/>
          <w:bCs/>
          <w:color w:val="auto"/>
          <w:sz w:val="32"/>
          <w:szCs w:val="32"/>
          <w:highlight w:val="none"/>
        </w:rPr>
      </w:r>
      <w:r/>
    </w:p>
    <w:p>
      <w:pPr>
        <w:pStyle w:val="1103"/>
        <w:jc w:val="center"/>
        <w:spacing w:line="360" w:lineRule="auto"/>
        <w:rPr>
          <w:rFonts w:hint="eastAsia" w:ascii="Arial" w:hAnsi="Arial" w:eastAsia="仿宋_GB2312"/>
          <w:b/>
          <w:bCs/>
          <w:color w:val="auto"/>
          <w:sz w:val="32"/>
          <w:szCs w:val="32"/>
          <w:highlight w:val="none"/>
        </w:rPr>
      </w:pPr>
      <w:r>
        <w:rPr>
          <w:rFonts w:hint="eastAsia" w:ascii="Arial" w:hAnsi="Arial" w:eastAsia="仿宋_GB2312"/>
          <w:b/>
          <w:bCs/>
          <w:color w:val="auto"/>
          <w:sz w:val="32"/>
          <w:szCs w:val="32"/>
          <w:highlight w:val="none"/>
        </w:rPr>
      </w:r>
      <w:r/>
    </w:p>
    <w:p>
      <w:pPr>
        <w:pStyle w:val="1103"/>
        <w:jc w:val="center"/>
        <w:spacing w:line="360" w:lineRule="auto"/>
        <w:rPr>
          <w:rFonts w:ascii="Arial" w:hAnsi="Arial" w:eastAsia="仿宋_GB2312"/>
          <w:b/>
          <w:bCs/>
          <w:color w:val="auto"/>
          <w:sz w:val="32"/>
          <w:szCs w:val="32"/>
          <w:highlight w:val="none"/>
        </w:rPr>
      </w:pPr>
      <w:r>
        <w:rPr>
          <w:rFonts w:hint="eastAsia" w:ascii="Arial" w:hAnsi="Arial" w:eastAsia="仿宋_GB2312"/>
          <w:b/>
          <w:bCs/>
          <w:color w:val="auto"/>
          <w:sz w:val="32"/>
          <w:szCs w:val="32"/>
          <w:highlight w:val="none"/>
        </w:rPr>
        <w:t xml:space="preserve">三、符合证明文件</w:t>
      </w:r>
      <w:r/>
    </w:p>
    <w:p>
      <w:pPr>
        <w:pStyle w:val="1364"/>
        <w:numPr>
          <w:ilvl w:val="0"/>
          <w:numId w:val="0"/>
        </w:numPr>
        <w:jc w:val="center"/>
        <w:rPr>
          <w:rFonts w:ascii="Arial" w:hAnsi="Arial" w:eastAsia="仿宋_GB2312"/>
          <w:color w:val="auto"/>
          <w:sz w:val="28"/>
          <w:szCs w:val="28"/>
          <w:highlight w:val="none"/>
        </w:rPr>
      </w:pPr>
      <w:r/>
      <w:bookmarkStart w:id="163" w:name="_Toc302967411"/>
      <w:r>
        <w:rPr>
          <w:rFonts w:hint="eastAsia" w:ascii="Arial" w:hAnsi="Arial" w:eastAsia="仿宋_GB2312"/>
          <w:color w:val="auto"/>
          <w:sz w:val="28"/>
          <w:szCs w:val="28"/>
          <w:highlight w:val="none"/>
        </w:rPr>
        <w:t xml:space="preserve">（一）</w:t>
      </w:r>
      <w:bookmarkEnd w:id="163"/>
      <w:r>
        <w:rPr>
          <w:rFonts w:hint="eastAsia" w:ascii="Arial" w:hAnsi="Arial" w:eastAsia="仿宋_GB2312"/>
          <w:color w:val="auto"/>
          <w:sz w:val="28"/>
          <w:szCs w:val="28"/>
          <w:highlight w:val="none"/>
        </w:rPr>
        <w:t xml:space="preserve">磋商声明函</w:t>
      </w:r>
      <w:r/>
    </w:p>
    <w:p>
      <w:pPr>
        <w:pStyle w:val="1103"/>
        <w:spacing w:line="380" w:lineRule="exact"/>
        <w:rPr>
          <w:rFonts w:ascii="仿宋" w:hAnsi="仿宋" w:eastAsia="仿宋"/>
          <w:color w:val="auto"/>
          <w:sz w:val="24"/>
          <w:highlight w:val="none"/>
          <w:u w:val="single"/>
        </w:rPr>
      </w:pPr>
      <w:r>
        <w:rPr>
          <w:rFonts w:hint="eastAsia" w:ascii="仿宋" w:hAnsi="仿宋" w:eastAsia="仿宋"/>
          <w:color w:val="auto"/>
          <w:sz w:val="24"/>
          <w:highlight w:val="none"/>
          <w:u w:val="single"/>
        </w:rPr>
        <w:t xml:space="preserve">泰州市靖江生态环境局</w:t>
      </w:r>
      <w:r>
        <w:rPr>
          <w:rFonts w:ascii="仿宋" w:hAnsi="仿宋" w:eastAsia="仿宋"/>
          <w:color w:val="auto"/>
          <w:sz w:val="24"/>
          <w:highlight w:val="none"/>
          <w:u w:val="single"/>
        </w:rPr>
        <w:t xml:space="preserve">：</w:t>
      </w:r>
      <w:r/>
    </w:p>
    <w:p>
      <w:pPr>
        <w:pStyle w:val="1103"/>
        <w:spacing w:line="480" w:lineRule="exact"/>
        <w:rPr>
          <w:rFonts w:ascii="仿宋" w:hAnsi="仿宋" w:eastAsia="仿宋"/>
          <w:color w:val="auto"/>
          <w:sz w:val="24"/>
          <w:highlight w:val="none"/>
        </w:rPr>
      </w:pPr>
      <w:r>
        <w:rPr>
          <w:rFonts w:ascii="仿宋" w:hAnsi="仿宋" w:eastAsia="仿宋"/>
          <w:color w:val="auto"/>
          <w:sz w:val="24"/>
          <w:highlight w:val="none"/>
        </w:rPr>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我们收到你们</w:t>
      </w:r>
      <w:r>
        <w:rPr>
          <w:rFonts w:hint="eastAsia" w:ascii="仿宋" w:hAnsi="仿宋" w:eastAsia="仿宋" w:cs="仿宋"/>
          <w:color w:val="auto"/>
          <w:sz w:val="24"/>
          <w:highlight w:val="none"/>
          <w:u w:val="single"/>
        </w:rPr>
        <w:t xml:space="preserve">           （项目编号）</w:t>
      </w:r>
      <w:r>
        <w:rPr>
          <w:rFonts w:hint="eastAsia" w:ascii="仿宋" w:hAnsi="仿宋" w:eastAsia="仿宋" w:cs="仿宋"/>
          <w:color w:val="auto"/>
          <w:sz w:val="24"/>
          <w:highlight w:val="none"/>
        </w:rPr>
        <w:t xml:space="preserve">磋商文件，经仔细阅读和研究，我们决定参加磋商。</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1、我们愿意按照磋商磋商文件的一切要求，提供本次磋商所需服务，包括提供本次服务的一切费用。</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2、如果我们的响应文件被接受，我们将严格履行磋商磋商文件中规定的每一项要求，按期、按质、按量履行服务义务。  </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3、我们同意按磋商磋商文件中的规定，本响应文件的有效期限为自开标之日起60日。</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4、我们愿意提供采购人在磋商磋商文件中要求的所有资料。</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5、我方愿意遵守磋商磋商文件中所列的收费标准。</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6、我方在磋商响应文件和磋商中所作的承诺在磋商后保持有效，不作任何更改和变动。</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7、如我方成为成交单位，我方愿意在领取成交通知书时按磋商文件要求向代理机构支付成交服务费。</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8、我们愿意按照《中华人民共和国民法典》履行自己应该承担的全部责任。</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9、我们愿意按照贵公司磋商磋商文件的要求提供全部磋商响应文件，并保证全部磋商响应文件内容真实有效，若有虚假，我公司愿意承担与此相关的一切责任。</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10、综合说明：</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（1）伴随服务及配合措施；</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（2）要求采购单位提供的配合；</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（3）对磋商磋商文件有不同意见的偏离说明；</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（4）其它说明；</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所有有关标书的函电，请按下列地址联系：</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单位：                                邮编：</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联系人：                              地址：</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联系电话：</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磋商响应单位（电子签章）：                </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磋商响应单位全权代表(签字/电子签章)：</w:t>
      </w:r>
      <w:r/>
    </w:p>
    <w:p>
      <w:pPr>
        <w:rPr>
          <w:rFonts w:ascii="仿宋" w:hAnsi="仿宋" w:eastAsia="仿宋" w:cs="仿宋"/>
          <w:b/>
          <w:bCs/>
          <w:color w:val="auto"/>
          <w:sz w:val="24"/>
          <w:highlight w:val="none"/>
        </w:rPr>
      </w:pPr>
      <w:r>
        <w:rPr>
          <w:rFonts w:hint="eastAsia" w:ascii="仿宋" w:hAnsi="仿宋" w:eastAsia="仿宋" w:cs="仿宋"/>
          <w:color w:val="auto"/>
          <w:sz w:val="24"/>
          <w:highlight w:val="none"/>
        </w:rPr>
        <w:t xml:space="preserve">日 期：      年   月   日</w:t>
      </w:r>
      <w:r/>
    </w:p>
    <w:p>
      <w:pPr>
        <w:pStyle w:val="1101"/>
        <w:numPr>
          <w:ilvl w:val="0"/>
          <w:numId w:val="0"/>
        </w:numPr>
        <w:jc w:val="center"/>
        <w:rPr>
          <w:rFonts w:ascii="仿宋" w:hAnsi="仿宋" w:eastAsia="仿宋" w:cs="仿宋"/>
          <w:b w:val="0"/>
          <w:bCs w:val="0"/>
          <w:color w:val="auto"/>
          <w:sz w:val="24"/>
          <w:highlight w:val="none"/>
        </w:rPr>
        <w:sectPr>
          <w:footerReference w:type="default" r:id="rId23"/>
          <w:footerReference w:type="even" r:id="rId24"/>
          <w:footnotePr/>
          <w:endnotePr/>
          <w:type w:val="nextPage"/>
          <w:pgSz w:w="11905" w:h="16838" w:orient="portrait"/>
          <w:pgMar w:top="1213" w:right="1417" w:bottom="1400" w:left="1417" w:header="850" w:footer="992" w:gutter="0"/>
          <w:cols w:num="1" w:sep="0" w:space="0" w:equalWidth="1"/>
          <w:docGrid w:linePitch="360"/>
          <w:titlePg/>
        </w:sectPr>
      </w:pPr>
      <w:r>
        <w:rPr>
          <w:rFonts w:ascii="仿宋" w:hAnsi="仿宋" w:eastAsia="仿宋" w:cs="仿宋"/>
          <w:b w:val="0"/>
          <w:bCs w:val="0"/>
          <w:color w:val="auto"/>
          <w:sz w:val="24"/>
          <w:highlight w:val="none"/>
        </w:rPr>
      </w:r>
      <w:r/>
    </w:p>
    <w:p>
      <w:pPr>
        <w:pStyle w:val="1364"/>
        <w:ind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（二）</w:t>
      </w:r>
      <w:r>
        <w:rPr>
          <w:rFonts w:ascii="仿宋" w:hAnsi="仿宋" w:eastAsia="仿宋"/>
          <w:bCs w:val="0"/>
          <w:color w:val="auto"/>
          <w:sz w:val="28"/>
          <w:szCs w:val="28"/>
          <w:highlight w:val="none"/>
        </w:rPr>
        <w:t xml:space="preserve">资信及商务响应表</w:t>
      </w:r>
      <w:r/>
    </w:p>
    <w:p>
      <w:pPr>
        <w:pStyle w:val="1365"/>
        <w:rPr>
          <w:rFonts w:ascii="仿宋" w:hAnsi="仿宋" w:eastAsia="仿宋"/>
          <w:color w:val="auto"/>
          <w:sz w:val="24"/>
          <w:szCs w:val="24"/>
          <w:highlight w:val="none"/>
          <w:u w:val="single"/>
        </w:rPr>
      </w:pPr>
      <w:r>
        <w:rPr>
          <w:rFonts w:ascii="仿宋" w:hAnsi="仿宋" w:eastAsia="仿宋"/>
          <w:color w:val="auto"/>
          <w:sz w:val="24"/>
          <w:szCs w:val="24"/>
          <w:highlight w:val="none"/>
        </w:rPr>
        <w:t xml:space="preserve">项目编号：</w:t>
      </w:r>
      <w:r/>
    </w:p>
    <w:tbl>
      <w:tblPr>
        <w:tblStyle w:val="896"/>
        <w:tblW w:w="9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7"/>
        <w:gridCol w:w="3015"/>
        <w:gridCol w:w="1072"/>
        <w:gridCol w:w="3161"/>
      </w:tblGrid>
      <w:tr>
        <w:trPr>
          <w:jc w:val="center"/>
          <w:trHeight w:val="531"/>
        </w:trPr>
        <w:tc>
          <w:tcPr>
            <w:tcW w:w="1917" w:type="dxa"/>
            <w:vAlign w:val="center"/>
            <w:textDirection w:val="lrTb"/>
            <w:noWrap/>
          </w:tcPr>
          <w:p>
            <w:pPr>
              <w:pStyle w:val="1103"/>
              <w:jc w:val="center"/>
              <w:spacing w:before="120"/>
              <w:rPr>
                <w:rFonts w:ascii="仿宋" w:hAnsi="仿宋" w:eastAsia="仿宋"/>
                <w:color w:val="auto"/>
                <w:sz w:val="24"/>
                <w:highlight w:val="none"/>
              </w:rPr>
            </w:pPr>
            <w:r>
              <w:rPr>
                <w:rFonts w:ascii="仿宋" w:hAnsi="仿宋" w:eastAsia="仿宋"/>
                <w:color w:val="auto"/>
                <w:sz w:val="24"/>
                <w:highlight w:val="none"/>
              </w:rPr>
              <w:t xml:space="preserve">项目</w:t>
            </w:r>
            <w:r/>
          </w:p>
        </w:tc>
        <w:tc>
          <w:tcPr>
            <w:tcW w:w="3015" w:type="dxa"/>
            <w:vAlign w:val="center"/>
            <w:textDirection w:val="lrTb"/>
            <w:noWrap/>
          </w:tcPr>
          <w:p>
            <w:pPr>
              <w:pStyle w:val="1103"/>
              <w:jc w:val="center"/>
              <w:spacing w:before="120"/>
              <w:rPr>
                <w:rFonts w:ascii="仿宋" w:hAnsi="仿宋" w:eastAsia="仿宋"/>
                <w:color w:val="auto"/>
                <w:sz w:val="24"/>
                <w:highlight w:val="none"/>
              </w:rPr>
            </w:pPr>
            <w:r>
              <w:rPr>
                <w:rFonts w:ascii="仿宋" w:hAnsi="仿宋" w:eastAsia="仿宋"/>
                <w:color w:val="auto"/>
                <w:sz w:val="24"/>
                <w:highlight w:val="none"/>
              </w:rPr>
              <w:t xml:space="preserve">招标文件要求</w:t>
            </w:r>
            <w:r/>
          </w:p>
        </w:tc>
        <w:tc>
          <w:tcPr>
            <w:tcW w:w="1072" w:type="dxa"/>
            <w:vAlign w:val="center"/>
            <w:textDirection w:val="lrTb"/>
            <w:noWrap/>
          </w:tcPr>
          <w:p>
            <w:pPr>
              <w:pStyle w:val="1103"/>
              <w:ind w:left="-34" w:right="-62"/>
              <w:jc w:val="center"/>
              <w:spacing w:before="120"/>
              <w:rPr>
                <w:rFonts w:ascii="仿宋" w:hAnsi="仿宋" w:eastAsia="仿宋"/>
                <w:color w:val="auto"/>
                <w:sz w:val="24"/>
                <w:highlight w:val="none"/>
              </w:rPr>
            </w:pPr>
            <w:r>
              <w:rPr>
                <w:rFonts w:ascii="仿宋" w:hAnsi="仿宋" w:eastAsia="仿宋"/>
                <w:color w:val="auto"/>
                <w:sz w:val="24"/>
                <w:highlight w:val="none"/>
              </w:rPr>
              <w:t xml:space="preserve">是否响应</w:t>
            </w:r>
            <w:r/>
          </w:p>
        </w:tc>
        <w:tc>
          <w:tcPr>
            <w:tcW w:w="3161" w:type="dxa"/>
            <w:vAlign w:val="center"/>
            <w:textDirection w:val="lrTb"/>
            <w:noWrap/>
          </w:tcPr>
          <w:p>
            <w:pPr>
              <w:pStyle w:val="1103"/>
              <w:jc w:val="center"/>
              <w:spacing w:before="120"/>
              <w:rPr>
                <w:rFonts w:ascii="仿宋" w:hAnsi="仿宋" w:eastAsia="仿宋"/>
                <w:color w:val="auto"/>
                <w:sz w:val="24"/>
                <w:highlight w:val="none"/>
              </w:rPr>
            </w:pPr>
            <w:r>
              <w:rPr>
                <w:rFonts w:ascii="仿宋" w:hAnsi="仿宋" w:eastAsia="仿宋"/>
                <w:color w:val="auto"/>
                <w:sz w:val="24"/>
                <w:highlight w:val="none"/>
              </w:rPr>
              <w:t xml:space="preserve">供应商的承诺或说明</w:t>
            </w:r>
            <w:r/>
          </w:p>
        </w:tc>
      </w:tr>
      <w:tr>
        <w:trPr>
          <w:jc w:val="center"/>
          <w:trHeight w:val="546"/>
        </w:trPr>
        <w:tc>
          <w:tcPr>
            <w:tcW w:w="1917" w:type="dxa"/>
            <w:vAlign w:val="center"/>
            <w:textDirection w:val="lrTb"/>
            <w:noWrap/>
          </w:tcPr>
          <w:p>
            <w:pPr>
              <w:pStyle w:val="1103"/>
              <w:jc w:val="center"/>
              <w:rPr>
                <w:rFonts w:ascii="仿宋" w:hAnsi="仿宋" w:eastAsia="仿宋"/>
                <w:color w:val="auto"/>
                <w:sz w:val="24"/>
                <w:highlight w:val="none"/>
              </w:rPr>
            </w:pPr>
            <w:r>
              <w:rPr>
                <w:rFonts w:hint="eastAsia" w:ascii="仿宋" w:hAnsi="仿宋" w:eastAsia="仿宋"/>
                <w:color w:val="auto"/>
                <w:sz w:val="24"/>
                <w:highlight w:val="none"/>
                <w:lang w:val="zh-CN"/>
              </w:rPr>
              <w:t xml:space="preserve">投标总体响应</w:t>
            </w:r>
            <w:r/>
          </w:p>
        </w:tc>
        <w:tc>
          <w:tcPr>
            <w:tcW w:w="3015" w:type="dxa"/>
            <w:textDirection w:val="lrTb"/>
            <w:noWrap/>
          </w:tcPr>
          <w:p>
            <w:pPr>
              <w:pStyle w:val="1103"/>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54"/>
        </w:trPr>
        <w:tc>
          <w:tcPr>
            <w:tcW w:w="1917" w:type="dxa"/>
            <w:vAlign w:val="center"/>
            <w:textDirection w:val="lrTb"/>
            <w:noWrap/>
          </w:tcPr>
          <w:p>
            <w:pPr>
              <w:pStyle w:val="1103"/>
              <w:jc w:val="center"/>
              <w:rPr>
                <w:rFonts w:ascii="仿宋" w:hAnsi="仿宋" w:eastAsia="仿宋"/>
                <w:color w:val="auto"/>
                <w:sz w:val="24"/>
                <w:highlight w:val="none"/>
              </w:rPr>
            </w:pPr>
            <w:r>
              <w:rPr>
                <w:rFonts w:hint="eastAsia" w:ascii="仿宋" w:hAnsi="仿宋" w:eastAsia="仿宋"/>
                <w:color w:val="auto"/>
                <w:sz w:val="24"/>
                <w:highlight w:val="none"/>
                <w:lang w:val="zh-CN"/>
              </w:rPr>
              <w:t xml:space="preserve">履约及属地服务</w:t>
            </w:r>
            <w:r/>
          </w:p>
        </w:tc>
        <w:tc>
          <w:tcPr>
            <w:tcW w:w="3015" w:type="dxa"/>
            <w:textDirection w:val="lrTb"/>
            <w:noWrap/>
          </w:tcPr>
          <w:p>
            <w:pPr>
              <w:pStyle w:val="1103"/>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03"/>
              <w:ind w:left="-34"/>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03"/>
              <w:ind w:left="-34"/>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421"/>
        </w:trPr>
        <w:tc>
          <w:tcPr>
            <w:tcW w:w="1917" w:type="dxa"/>
            <w:vAlign w:val="center"/>
            <w:textDirection w:val="lrTb"/>
            <w:noWrap/>
          </w:tcPr>
          <w:p>
            <w:pPr>
              <w:pStyle w:val="1103"/>
              <w:jc w:val="center"/>
              <w:rPr>
                <w:rFonts w:ascii="仿宋" w:hAnsi="仿宋" w:eastAsia="仿宋"/>
                <w:color w:val="auto"/>
                <w:sz w:val="24"/>
                <w:highlight w:val="none"/>
              </w:rPr>
            </w:pPr>
            <w:r>
              <w:rPr>
                <w:rFonts w:hint="eastAsia" w:ascii="仿宋" w:hAnsi="仿宋" w:eastAsia="仿宋"/>
                <w:color w:val="auto"/>
                <w:sz w:val="24"/>
                <w:highlight w:val="none"/>
                <w:lang w:val="zh-CN"/>
              </w:rPr>
              <w:t xml:space="preserve">付款方式</w:t>
            </w:r>
            <w:r/>
          </w:p>
        </w:tc>
        <w:tc>
          <w:tcPr>
            <w:tcW w:w="3015" w:type="dxa"/>
            <w:textDirection w:val="lrTb"/>
            <w:noWrap/>
          </w:tcPr>
          <w:p>
            <w:pPr>
              <w:pStyle w:val="1103"/>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55"/>
        </w:trPr>
        <w:tc>
          <w:tcPr>
            <w:tcW w:w="1917" w:type="dxa"/>
            <w:vAlign w:val="center"/>
            <w:textDirection w:val="lrTb"/>
            <w:noWrap/>
          </w:tcPr>
          <w:p>
            <w:pPr>
              <w:pStyle w:val="1103"/>
              <w:jc w:val="center"/>
              <w:rPr>
                <w:rFonts w:ascii="仿宋" w:hAnsi="仿宋" w:eastAsia="仿宋"/>
                <w:color w:val="auto"/>
                <w:sz w:val="24"/>
                <w:highlight w:val="none"/>
              </w:rPr>
            </w:pPr>
            <w:r>
              <w:rPr>
                <w:rFonts w:hint="eastAsia" w:ascii="仿宋" w:hAnsi="仿宋" w:eastAsia="仿宋"/>
                <w:color w:val="auto"/>
                <w:sz w:val="24"/>
                <w:highlight w:val="none"/>
                <w:lang w:val="zh-CN"/>
              </w:rPr>
              <w:t xml:space="preserve">工期及服务周期</w:t>
            </w:r>
            <w:r/>
          </w:p>
        </w:tc>
        <w:tc>
          <w:tcPr>
            <w:tcW w:w="3015" w:type="dxa"/>
            <w:textDirection w:val="lrTb"/>
            <w:noWrap/>
          </w:tcPr>
          <w:p>
            <w:pPr>
              <w:pStyle w:val="1103"/>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103"/>
              <w:jc w:val="center"/>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质量标准</w:t>
            </w:r>
            <w:r/>
          </w:p>
        </w:tc>
        <w:tc>
          <w:tcPr>
            <w:tcW w:w="3015" w:type="dxa"/>
            <w:textDirection w:val="lrTb"/>
            <w:noWrap/>
          </w:tcPr>
          <w:p>
            <w:pPr>
              <w:pStyle w:val="1103"/>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103"/>
              <w:jc w:val="center"/>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报价范围</w:t>
            </w:r>
            <w:r/>
          </w:p>
        </w:tc>
        <w:tc>
          <w:tcPr>
            <w:tcW w:w="3015" w:type="dxa"/>
            <w:textDirection w:val="lrTb"/>
            <w:noWrap/>
          </w:tcPr>
          <w:p>
            <w:pPr>
              <w:pStyle w:val="1103"/>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103"/>
              <w:jc w:val="center"/>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合规</w:t>
            </w:r>
            <w:r/>
          </w:p>
        </w:tc>
        <w:tc>
          <w:tcPr>
            <w:tcW w:w="3015" w:type="dxa"/>
            <w:textDirection w:val="lrTb"/>
            <w:noWrap/>
          </w:tcPr>
          <w:p>
            <w:pPr>
              <w:pStyle w:val="1103"/>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103"/>
              <w:jc w:val="center"/>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成果版权及保密</w:t>
            </w:r>
            <w:r/>
          </w:p>
        </w:tc>
        <w:tc>
          <w:tcPr>
            <w:tcW w:w="3015" w:type="dxa"/>
            <w:textDirection w:val="lrTb"/>
            <w:noWrap/>
          </w:tcPr>
          <w:p>
            <w:pPr>
              <w:pStyle w:val="1103"/>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103"/>
              <w:jc w:val="center"/>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后续服务及质保</w:t>
            </w:r>
            <w:r/>
          </w:p>
        </w:tc>
        <w:tc>
          <w:tcPr>
            <w:tcW w:w="3015" w:type="dxa"/>
            <w:textDirection w:val="lrTb"/>
            <w:noWrap/>
          </w:tcPr>
          <w:p>
            <w:pPr>
              <w:pStyle w:val="1103"/>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35"/>
        </w:trPr>
        <w:tc>
          <w:tcPr>
            <w:tcW w:w="1917"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投标有效期</w:t>
            </w:r>
            <w:r/>
          </w:p>
        </w:tc>
        <w:tc>
          <w:tcPr>
            <w:tcW w:w="3015" w:type="dxa"/>
            <w:textDirection w:val="lrTb"/>
            <w:noWrap/>
          </w:tcPr>
          <w:p>
            <w:pPr>
              <w:pStyle w:val="1103"/>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473"/>
        </w:trPr>
        <w:tc>
          <w:tcPr>
            <w:tcW w:w="1917"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合同违约责任</w:t>
            </w:r>
            <w:r/>
          </w:p>
        </w:tc>
        <w:tc>
          <w:tcPr>
            <w:tcW w:w="3015" w:type="dxa"/>
            <w:textDirection w:val="lrTb"/>
            <w:noWrap/>
          </w:tcPr>
          <w:p>
            <w:pPr>
              <w:pStyle w:val="1103"/>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802"/>
        </w:trPr>
        <w:tc>
          <w:tcPr>
            <w:tcW w:w="1917" w:type="dxa"/>
            <w:vAlign w:val="center"/>
            <w:textDirection w:val="lrTb"/>
            <w:noWrap/>
          </w:tcPr>
          <w:p>
            <w:pPr>
              <w:pStyle w:val="1103"/>
              <w:ind w:left="-34" w:right="-62"/>
              <w:jc w:val="center"/>
              <w:rPr>
                <w:rFonts w:ascii="仿宋" w:hAnsi="仿宋" w:eastAsia="仿宋"/>
                <w:color w:val="auto"/>
                <w:sz w:val="24"/>
                <w:highlight w:val="none"/>
              </w:rPr>
            </w:pPr>
            <w:r>
              <w:rPr>
                <w:rFonts w:ascii="仿宋" w:hAnsi="仿宋" w:eastAsia="仿宋"/>
                <w:color w:val="auto"/>
                <w:sz w:val="24"/>
                <w:highlight w:val="none"/>
              </w:rPr>
              <w:t xml:space="preserve">招标文件规定的其他商务要求</w:t>
            </w:r>
            <w:r/>
          </w:p>
        </w:tc>
        <w:tc>
          <w:tcPr>
            <w:tcW w:w="3015" w:type="dxa"/>
            <w:textDirection w:val="lrTb"/>
            <w:noWrap/>
          </w:tcPr>
          <w:p>
            <w:pPr>
              <w:pStyle w:val="1103"/>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35"/>
        </w:trPr>
        <w:tc>
          <w:tcPr>
            <w:tcW w:w="1917" w:type="dxa"/>
            <w:vAlign w:val="center"/>
            <w:textDirection w:val="lrTb"/>
            <w:noWrap/>
          </w:tcPr>
          <w:p>
            <w:pPr>
              <w:pStyle w:val="1103"/>
              <w:jc w:val="center"/>
              <w:spacing w:before="120"/>
              <w:rPr>
                <w:rFonts w:ascii="仿宋" w:hAnsi="仿宋" w:eastAsia="仿宋"/>
                <w:color w:val="auto"/>
                <w:sz w:val="24"/>
                <w:highlight w:val="none"/>
              </w:rPr>
            </w:pPr>
            <w:r>
              <w:rPr>
                <w:rFonts w:ascii="仿宋" w:hAnsi="仿宋" w:eastAsia="仿宋"/>
                <w:color w:val="auto"/>
                <w:sz w:val="24"/>
                <w:highlight w:val="none"/>
              </w:rPr>
              <w:t xml:space="preserve">……</w:t>
            </w:r>
            <w:r/>
          </w:p>
        </w:tc>
        <w:tc>
          <w:tcPr>
            <w:tcW w:w="3015"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1072"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r>
    </w:tbl>
    <w:p>
      <w:pPr>
        <w:pStyle w:val="1103"/>
        <w:spacing w:before="120"/>
        <w:rPr>
          <w:rFonts w:ascii="仿宋" w:hAnsi="仿宋" w:eastAsia="仿宋"/>
          <w:color w:val="auto"/>
          <w:sz w:val="24"/>
          <w:highlight w:val="none"/>
        </w:rPr>
      </w:pPr>
      <w:r>
        <w:rPr>
          <w:rFonts w:ascii="仿宋" w:hAnsi="仿宋" w:eastAsia="仿宋"/>
          <w:color w:val="auto"/>
          <w:sz w:val="24"/>
          <w:highlight w:val="none"/>
        </w:rPr>
      </w:r>
      <w:r/>
    </w:p>
    <w:p>
      <w:pPr>
        <w:pStyle w:val="1103"/>
        <w:spacing w:before="120"/>
        <w:rPr>
          <w:rFonts w:ascii="仿宋" w:hAnsi="仿宋" w:eastAsia="仿宋"/>
          <w:color w:val="auto"/>
          <w:sz w:val="24"/>
          <w:highlight w:val="none"/>
        </w:rPr>
      </w:pPr>
      <w:r>
        <w:rPr>
          <w:rFonts w:ascii="仿宋" w:hAnsi="仿宋" w:eastAsia="仿宋"/>
          <w:color w:val="auto"/>
          <w:sz w:val="24"/>
          <w:highlight w:val="none"/>
        </w:rPr>
      </w:r>
      <w:r/>
    </w:p>
    <w:p>
      <w:pPr>
        <w:pStyle w:val="1103"/>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        </w:t>
      </w:r>
      <w:r/>
    </w:p>
    <w:p>
      <w:pPr>
        <w:pStyle w:val="1103"/>
        <w:spacing w:before="120"/>
        <w:rPr>
          <w:rFonts w:ascii="仿宋" w:hAnsi="仿宋" w:eastAsia="仿宋"/>
          <w:color w:val="auto"/>
          <w:sz w:val="24"/>
          <w:highlight w:val="none"/>
        </w:rPr>
      </w:pPr>
      <w:r>
        <w:rPr>
          <w:rFonts w:ascii="仿宋" w:hAnsi="仿宋" w:eastAsia="仿宋"/>
          <w:color w:val="auto"/>
          <w:sz w:val="24"/>
          <w:highlight w:val="none"/>
        </w:rPr>
      </w:r>
      <w:r/>
    </w:p>
    <w:p>
      <w:pPr>
        <w:pStyle w:val="1103"/>
        <w:spacing w:before="50" w:after="50"/>
        <w:rPr>
          <w:rFonts w:ascii="仿宋" w:hAnsi="仿宋" w:eastAsia="仿宋"/>
          <w:color w:val="auto"/>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rPr>
          <w:rFonts w:ascii="仿宋" w:hAnsi="仿宋" w:eastAsia="仿宋"/>
          <w:color w:val="auto"/>
          <w:sz w:val="24"/>
          <w:highlight w:val="none"/>
        </w:rPr>
        <w:t xml:space="preserve">           </w:t>
      </w:r>
      <w:r/>
    </w:p>
    <w:p>
      <w:pPr>
        <w:pStyle w:val="1103"/>
        <w:spacing w:before="120"/>
        <w:rPr>
          <w:rFonts w:ascii="仿宋" w:hAnsi="仿宋" w:eastAsia="仿宋"/>
          <w:color w:val="auto"/>
          <w:sz w:val="24"/>
          <w:highlight w:val="none"/>
        </w:rPr>
      </w:pPr>
      <w:r>
        <w:rPr>
          <w:rFonts w:ascii="仿宋" w:hAnsi="仿宋" w:eastAsia="仿宋"/>
          <w:color w:val="auto"/>
          <w:sz w:val="24"/>
          <w:highlight w:val="none"/>
        </w:rPr>
      </w:r>
      <w:r/>
    </w:p>
    <w:p>
      <w:pPr>
        <w:pStyle w:val="1103"/>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1103"/>
        <w:rPr>
          <w:rFonts w:ascii="仿宋" w:hAnsi="仿宋" w:eastAsia="仿宋"/>
          <w:b/>
          <w:bCs/>
          <w:color w:val="auto"/>
          <w:sz w:val="24"/>
          <w:highlight w:val="none"/>
        </w:rPr>
      </w:pPr>
      <w:r>
        <w:rPr>
          <w:rFonts w:ascii="仿宋" w:hAnsi="仿宋" w:eastAsia="仿宋"/>
          <w:b/>
          <w:bCs/>
          <w:color w:val="auto"/>
          <w:sz w:val="24"/>
          <w:highlight w:val="none"/>
        </w:rPr>
      </w:r>
      <w:r/>
    </w:p>
    <w:p>
      <w:pPr>
        <w:pStyle w:val="1103"/>
        <w:rPr>
          <w:rFonts w:ascii="Arial" w:hAnsi="Arial" w:eastAsia="仿宋_GB2312"/>
          <w:color w:val="auto"/>
          <w:sz w:val="24"/>
          <w:highlight w:val="none"/>
        </w:rPr>
        <w:sectPr>
          <w:headerReference w:type="default" r:id="rId15"/>
          <w:footerReference w:type="default" r:id="rId25"/>
          <w:footnotePr/>
          <w:endnotePr/>
          <w:type w:val="nextPage"/>
          <w:pgSz w:w="11905" w:h="16838" w:orient="portrait"/>
          <w:pgMar w:top="1213" w:right="1417" w:bottom="1400" w:left="1417" w:header="850" w:footer="992" w:gutter="0"/>
          <w:cols w:num="1" w:sep="0" w:space="0" w:equalWidth="1"/>
          <w:docGrid w:linePitch="360"/>
          <w:titlePg/>
        </w:sectPr>
      </w:pPr>
      <w:r>
        <w:rPr>
          <w:rFonts w:ascii="Arial" w:hAnsi="Arial" w:eastAsia="仿宋_GB2312"/>
          <w:color w:val="auto"/>
          <w:sz w:val="24"/>
          <w:highlight w:val="none"/>
        </w:rPr>
      </w:r>
      <w:r/>
    </w:p>
    <w:p>
      <w:pPr>
        <w:pStyle w:val="1364"/>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（三）</w:t>
      </w:r>
      <w:r>
        <w:rPr>
          <w:rFonts w:ascii="Arial" w:hAnsi="Arial" w:eastAsia="仿宋_GB2312"/>
          <w:bCs w:val="0"/>
          <w:color w:val="auto"/>
          <w:sz w:val="28"/>
          <w:szCs w:val="28"/>
          <w:highlight w:val="none"/>
        </w:rPr>
        <w:t xml:space="preserve">技术响应表（若有）</w:t>
      </w:r>
      <w:r/>
    </w:p>
    <w:p>
      <w:pPr>
        <w:pStyle w:val="1366"/>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项目名称：</w:t>
      </w:r>
      <w:r/>
    </w:p>
    <w:p>
      <w:pPr>
        <w:pStyle w:val="1366"/>
        <w:rPr>
          <w:rFonts w:ascii="仿宋" w:hAnsi="仿宋" w:eastAsia="仿宋"/>
          <w:color w:val="auto"/>
          <w:sz w:val="24"/>
          <w:szCs w:val="24"/>
          <w:highlight w:val="none"/>
        </w:rPr>
      </w:pPr>
      <w:r>
        <w:rPr>
          <w:rFonts w:ascii="仿宋" w:hAnsi="仿宋" w:eastAsia="仿宋"/>
          <w:color w:val="auto"/>
          <w:sz w:val="24"/>
          <w:szCs w:val="24"/>
          <w:highlight w:val="none"/>
        </w:rPr>
        <w:t xml:space="preserve">项目编号：</w:t>
      </w:r>
      <w:r/>
    </w:p>
    <w:tbl>
      <w:tblPr>
        <w:tblStyle w:val="896"/>
        <w:tblW w:w="94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W w:w="817" w:type="dxa"/>
            <w:vAlign w:val="center"/>
            <w:textDirection w:val="lrTb"/>
            <w:noWrap/>
          </w:tcPr>
          <w:p>
            <w:pPr>
              <w:pStyle w:val="1366"/>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序号</w:t>
            </w:r>
            <w:r/>
          </w:p>
        </w:tc>
        <w:tc>
          <w:tcPr>
            <w:tcW w:w="2171" w:type="dxa"/>
            <w:vAlign w:val="center"/>
            <w:textDirection w:val="lrTb"/>
            <w:noWrap/>
          </w:tcPr>
          <w:p>
            <w:pPr>
              <w:pStyle w:val="1366"/>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磋商文件要求</w:t>
            </w:r>
            <w:r/>
          </w:p>
        </w:tc>
        <w:tc>
          <w:tcPr>
            <w:tcW w:w="2340" w:type="dxa"/>
            <w:vAlign w:val="center"/>
            <w:textDirection w:val="lrTb"/>
            <w:noWrap/>
          </w:tcPr>
          <w:p>
            <w:pPr>
              <w:pStyle w:val="1366"/>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响应</w:t>
            </w:r>
            <w:r>
              <w:rPr>
                <w:rFonts w:hint="eastAsia" w:ascii="仿宋" w:hAnsi="仿宋" w:eastAsia="仿宋"/>
                <w:color w:val="auto"/>
                <w:sz w:val="24"/>
                <w:szCs w:val="24"/>
                <w:highlight w:val="none"/>
              </w:rPr>
              <w:t xml:space="preserve">/投标</w:t>
            </w:r>
            <w:r>
              <w:rPr>
                <w:rFonts w:ascii="仿宋" w:hAnsi="仿宋" w:eastAsia="仿宋"/>
                <w:color w:val="auto"/>
                <w:sz w:val="24"/>
                <w:szCs w:val="24"/>
                <w:highlight w:val="none"/>
              </w:rPr>
              <w:t xml:space="preserve">文件</w:t>
            </w:r>
            <w:r/>
          </w:p>
        </w:tc>
        <w:tc>
          <w:tcPr>
            <w:tcW w:w="2160" w:type="dxa"/>
            <w:vAlign w:val="center"/>
            <w:textDirection w:val="lrTb"/>
            <w:noWrap/>
          </w:tcPr>
          <w:p>
            <w:pPr>
              <w:pStyle w:val="1366"/>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偏离情况</w:t>
            </w:r>
            <w:r/>
          </w:p>
        </w:tc>
        <w:tc>
          <w:tcPr>
            <w:tcW w:w="1980" w:type="dxa"/>
            <w:vAlign w:val="center"/>
            <w:textDirection w:val="lrTb"/>
            <w:noWrap/>
          </w:tcPr>
          <w:p>
            <w:pPr>
              <w:pStyle w:val="1366"/>
              <w:ind w:firstLine="720"/>
              <w:rPr>
                <w:rFonts w:ascii="仿宋" w:hAnsi="仿宋" w:eastAsia="仿宋"/>
                <w:color w:val="auto"/>
                <w:sz w:val="24"/>
                <w:szCs w:val="24"/>
                <w:highlight w:val="none"/>
              </w:rPr>
            </w:pPr>
            <w:r>
              <w:rPr>
                <w:rFonts w:ascii="仿宋" w:hAnsi="仿宋" w:eastAsia="仿宋"/>
                <w:color w:val="auto"/>
                <w:sz w:val="24"/>
                <w:szCs w:val="24"/>
                <w:highlight w:val="none"/>
              </w:rPr>
              <w:t xml:space="preserve">说明</w:t>
            </w:r>
            <w:r/>
          </w:p>
        </w:tc>
      </w:tr>
      <w:tr>
        <w:trPr>
          <w:cantSplit/>
          <w:trHeight w:val="284"/>
        </w:trPr>
        <w:tc>
          <w:tcPr>
            <w:tcW w:w="817" w:type="dxa"/>
            <w:vAlign w:val="center"/>
            <w:textDirection w:val="lrTb"/>
            <w:noWrap/>
          </w:tcPr>
          <w:p>
            <w:pPr>
              <w:pStyle w:val="1362"/>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62"/>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62"/>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62"/>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62"/>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62"/>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62"/>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62"/>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2160" w:type="dxa"/>
            <w:textDirection w:val="lrTb"/>
            <w:noWrap/>
          </w:tcPr>
          <w:p>
            <w:pPr>
              <w:pStyle w:val="1362"/>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1980" w:type="dxa"/>
            <w:textDirection w:val="lrTb"/>
            <w:noWrap/>
          </w:tcPr>
          <w:p>
            <w:pPr>
              <w:pStyle w:val="1362"/>
              <w:spacing w:before="295" w:after="295"/>
              <w:rPr>
                <w:rFonts w:ascii="仿宋" w:hAnsi="仿宋" w:eastAsia="仿宋"/>
                <w:color w:val="auto"/>
                <w:szCs w:val="24"/>
                <w:highlight w:val="none"/>
              </w:rPr>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62"/>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62"/>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62"/>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62"/>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62"/>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722"/>
        </w:trPr>
        <w:tc>
          <w:tcPr>
            <w:tcW w:w="817" w:type="dxa"/>
            <w:vAlign w:val="center"/>
            <w:textDirection w:val="lrTb"/>
            <w:noWrap/>
          </w:tcPr>
          <w:p>
            <w:pPr>
              <w:pStyle w:val="1362"/>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62"/>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62"/>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62"/>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62"/>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62"/>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62"/>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62"/>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62"/>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62"/>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bl>
    <w:p>
      <w:pPr>
        <w:pStyle w:val="1366"/>
        <w:ind w:firstLine="480"/>
        <w:rPr>
          <w:rFonts w:ascii="仿宋" w:hAnsi="仿宋" w:eastAsia="仿宋"/>
          <w:color w:val="auto"/>
          <w:spacing w:val="20"/>
          <w:sz w:val="24"/>
          <w:szCs w:val="24"/>
          <w:highlight w:val="none"/>
        </w:rPr>
      </w:pPr>
      <w:r>
        <w:rPr>
          <w:rFonts w:ascii="仿宋" w:hAnsi="仿宋" w:eastAsia="仿宋"/>
          <w:color w:val="auto"/>
          <w:sz w:val="24"/>
          <w:szCs w:val="24"/>
          <w:highlight w:val="none"/>
        </w:rPr>
        <w:t xml:space="preserve">注：</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供应商应根据响应服务的技术指标、对照磋商文件要求在“偏离情况”栏注明“正偏离”、“负偏离”或“无偏离”。说明列可填写“磋商方案如何满足需求”或“解释响应方案与用户需求之间的偏差”。</w:t>
      </w:r>
      <w:r/>
    </w:p>
    <w:p>
      <w:pPr>
        <w:pStyle w:val="1366"/>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lang w:val="zh-CN"/>
        </w:rPr>
        <w:t xml:space="preserve">对照招标文件技术规格、参数以及要求，逐条说明所提供服务是否做出了实质性响应，如有偏离和例外，则应按照招标文件中技术、商务条款偏离表格式填写清楚，并提供所偏离的具体参数以及要求。采购人只接受相同或者优于技术条款中所规定的技术要求以及标准。供应商若采用欺骗手段提报虚假资料和承诺的，一经发现，其投标无效，并按照相关法律法规进行处罚。</w:t>
      </w:r>
      <w:r/>
    </w:p>
    <w:p>
      <w:pPr>
        <w:pStyle w:val="1366"/>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lang w:val="zh-CN"/>
        </w:rPr>
        <w:t xml:space="preserve">供应商在详细阐述服务的主要技术指标和性能说明时，应注意招标文件</w:t>
      </w:r>
      <w:r>
        <w:rPr>
          <w:rFonts w:ascii="仿宋" w:hAnsi="仿宋" w:eastAsia="仿宋"/>
          <w:color w:val="auto"/>
          <w:sz w:val="24"/>
          <w:szCs w:val="24"/>
          <w:highlight w:val="none"/>
        </w:rPr>
        <w:t xml:space="preserve">第十二章“项目需求以及</w:t>
      </w:r>
      <w:r>
        <w:rPr>
          <w:rFonts w:ascii="仿宋" w:hAnsi="仿宋" w:eastAsia="仿宋"/>
          <w:color w:val="auto"/>
          <w:sz w:val="24"/>
          <w:szCs w:val="24"/>
          <w:highlight w:val="none"/>
          <w:lang w:val="zh-CN"/>
        </w:rPr>
        <w:t xml:space="preserve">技术要求</w:t>
      </w:r>
      <w:r>
        <w:rPr>
          <w:rFonts w:ascii="仿宋" w:hAnsi="仿宋" w:eastAsia="仿宋"/>
          <w:color w:val="auto"/>
          <w:sz w:val="24"/>
          <w:szCs w:val="24"/>
          <w:highlight w:val="none"/>
        </w:rPr>
        <w:t xml:space="preserve">”</w:t>
      </w:r>
      <w:r>
        <w:rPr>
          <w:rFonts w:ascii="仿宋" w:hAnsi="仿宋" w:eastAsia="仿宋"/>
          <w:color w:val="auto"/>
          <w:sz w:val="24"/>
          <w:szCs w:val="24"/>
          <w:highlight w:val="none"/>
          <w:lang w:val="zh-CN"/>
        </w:rPr>
        <w:t xml:space="preserve">中的标准和文字说明，并无任何限制性。</w:t>
      </w:r>
      <w:r/>
    </w:p>
    <w:p>
      <w:pPr>
        <w:pStyle w:val="1366"/>
        <w:ind w:firstLine="480"/>
        <w:rPr>
          <w:rFonts w:ascii="仿宋" w:hAnsi="仿宋" w:eastAsia="仿宋"/>
          <w:color w:val="auto"/>
          <w:sz w:val="24"/>
          <w:szCs w:val="24"/>
          <w:highlight w:val="none"/>
          <w:lang w:val="zh-CN"/>
        </w:rPr>
      </w:pPr>
      <w:r>
        <w:rPr>
          <w:rFonts w:hint="eastAsia" w:ascii="仿宋" w:hAnsi="仿宋" w:eastAsia="仿宋"/>
          <w:color w:val="auto"/>
          <w:sz w:val="24"/>
          <w:szCs w:val="24"/>
          <w:highlight w:val="none"/>
        </w:rPr>
        <w:t xml:space="preserve">4、</w:t>
      </w:r>
      <w:r>
        <w:rPr>
          <w:rFonts w:ascii="仿宋" w:hAnsi="仿宋" w:eastAsia="仿宋"/>
          <w:color w:val="auto"/>
          <w:sz w:val="24"/>
          <w:szCs w:val="24"/>
          <w:highlight w:val="none"/>
          <w:lang w:val="zh-CN"/>
        </w:rPr>
        <w:t xml:space="preserve">如果采购人全部或者部分使用非中标人投标文件中的技术成果或者技术方案时，应书面征得其同意并给予一定的经济补偿后，方可使用。</w:t>
      </w:r>
      <w:r/>
    </w:p>
    <w:p>
      <w:pPr>
        <w:pStyle w:val="1366"/>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w:t>
      </w:r>
      <w:r>
        <w:rPr>
          <w:rFonts w:ascii="仿宋" w:hAnsi="仿宋" w:eastAsia="仿宋"/>
          <w:color w:val="auto"/>
          <w:sz w:val="24"/>
          <w:szCs w:val="24"/>
          <w:highlight w:val="none"/>
          <w:lang w:val="zh-CN"/>
        </w:rPr>
        <w:t xml:space="preserve">供应商必须对所提供服务等知识产权方面的一切产权关系负全部责任，由此而引起的法律纠纷以及费用供应商须全部承担。</w:t>
      </w:r>
      <w:r/>
    </w:p>
    <w:p>
      <w:pPr>
        <w:pStyle w:val="1366"/>
        <w:rPr>
          <w:rFonts w:ascii="仿宋" w:hAnsi="仿宋" w:eastAsia="仿宋"/>
          <w:color w:val="auto"/>
          <w:spacing w:val="20"/>
          <w:sz w:val="24"/>
          <w:szCs w:val="24"/>
          <w:highlight w:val="none"/>
        </w:rPr>
      </w:pPr>
      <w:r>
        <w:rPr>
          <w:rFonts w:ascii="仿宋" w:hAnsi="仿宋" w:eastAsia="仿宋"/>
          <w:color w:val="auto"/>
          <w:spacing w:val="20"/>
          <w:sz w:val="24"/>
          <w:szCs w:val="24"/>
          <w:highlight w:val="none"/>
        </w:rPr>
      </w:r>
      <w:r/>
    </w:p>
    <w:p>
      <w:pPr>
        <w:pStyle w:val="1103"/>
        <w:spacing w:before="50" w:after="5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03"/>
        <w:spacing w:before="50" w:after="50"/>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103"/>
        <w:spacing w:before="50" w:after="50"/>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p>
    <w:p>
      <w:pPr>
        <w:pStyle w:val="1103"/>
        <w:spacing w:before="50" w:after="50"/>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103"/>
        <w:spacing w:before="50" w:after="50"/>
        <w:rPr>
          <w:rFonts w:ascii="仿宋" w:hAnsi="仿宋" w:eastAsia="仿宋"/>
          <w:color w:val="auto"/>
          <w:sz w:val="24"/>
          <w:highlight w:val="none"/>
        </w:rPr>
      </w:pPr>
      <w:r>
        <w:rPr>
          <w:rFonts w:ascii="仿宋" w:hAnsi="仿宋" w:eastAsia="仿宋"/>
          <w:color w:val="auto"/>
          <w:spacing w:val="20"/>
          <w:sz w:val="24"/>
          <w:highlight w:val="none"/>
        </w:rPr>
        <w:t xml:space="preserve">日 期：</w:t>
      </w:r>
      <w:r/>
    </w:p>
    <w:p>
      <w:pPr>
        <w:pStyle w:val="1103"/>
        <w:jc w:val="center"/>
        <w:spacing w:line="400" w:lineRule="exact"/>
        <w:rPr>
          <w:rFonts w:ascii="Arial" w:hAnsi="Arial" w:eastAsia="仿宋_GB2312"/>
          <w:b/>
          <w:color w:val="auto"/>
          <w:sz w:val="28"/>
          <w:szCs w:val="28"/>
          <w:highlight w:val="none"/>
        </w:rPr>
        <w:outlineLvl w:val="1"/>
      </w:pPr>
      <w:r>
        <w:rPr>
          <w:rFonts w:ascii="Arial" w:hAnsi="Arial" w:eastAsia="仿宋_GB2312"/>
          <w:b/>
          <w:color w:val="auto"/>
          <w:sz w:val="28"/>
          <w:szCs w:val="28"/>
          <w:highlight w:val="none"/>
        </w:rPr>
      </w:r>
      <w:r/>
    </w:p>
    <w:p>
      <w:pPr>
        <w:pStyle w:val="1103"/>
        <w:jc w:val="center"/>
        <w:spacing w:line="400" w:lineRule="exact"/>
        <w:rPr>
          <w:rFonts w:ascii="Arial" w:hAnsi="Arial" w:eastAsia="仿宋_GB2312"/>
          <w:b/>
          <w:color w:val="auto"/>
          <w:sz w:val="28"/>
          <w:szCs w:val="28"/>
          <w:highlight w:val="none"/>
        </w:rPr>
        <w:outlineLvl w:val="1"/>
      </w:pPr>
      <w:r>
        <w:rPr>
          <w:rFonts w:ascii="Arial" w:hAnsi="Arial" w:eastAsia="仿宋_GB2312"/>
          <w:b/>
          <w:color w:val="auto"/>
          <w:sz w:val="28"/>
          <w:szCs w:val="28"/>
          <w:highlight w:val="none"/>
        </w:rPr>
      </w:r>
      <w:r/>
    </w:p>
    <w:p>
      <w:pPr>
        <w:pStyle w:val="1103"/>
        <w:jc w:val="center"/>
        <w:spacing w:line="40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（四）</w:t>
      </w:r>
      <w:r>
        <w:rPr>
          <w:rFonts w:ascii="Arial" w:hAnsi="Arial" w:eastAsia="仿宋_GB2312"/>
          <w:b/>
          <w:color w:val="auto"/>
          <w:sz w:val="28"/>
          <w:szCs w:val="28"/>
          <w:highlight w:val="none"/>
        </w:rPr>
        <w:t xml:space="preserve">基本服务承诺书</w:t>
      </w:r>
      <w:r/>
    </w:p>
    <w:p>
      <w:pPr>
        <w:pStyle w:val="1103"/>
        <w:spacing w:line="400" w:lineRule="exact"/>
        <w:rPr>
          <w:rFonts w:ascii="仿宋_GB2312" w:eastAsia="仿宋_GB2312"/>
          <w:b/>
          <w:bCs/>
          <w:color w:val="auto"/>
          <w:sz w:val="28"/>
          <w:szCs w:val="28"/>
          <w:highlight w:val="none"/>
        </w:rPr>
      </w:pPr>
      <w:r>
        <w:rPr>
          <w:rFonts w:ascii="仿宋_GB2312" w:eastAsia="仿宋_GB2312"/>
          <w:b/>
          <w:bCs/>
          <w:color w:val="auto"/>
          <w:sz w:val="28"/>
          <w:szCs w:val="28"/>
          <w:highlight w:val="none"/>
        </w:rPr>
      </w:r>
      <w:r/>
    </w:p>
    <w:p>
      <w:pPr>
        <w:pStyle w:val="110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一、我单位确保按中标结果确定价格及时提供服务。</w:t>
      </w:r>
      <w:r/>
    </w:p>
    <w:p>
      <w:pPr>
        <w:pStyle w:val="1103"/>
        <w:ind w:firstLine="48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二、承诺的服务：（质保期、交付日期、是否响应付款方式等）</w:t>
      </w:r>
      <w:r/>
    </w:p>
    <w:p>
      <w:pPr>
        <w:pStyle w:val="1103"/>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03"/>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03"/>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03"/>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03"/>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三、要求招标人提供的配合：</w:t>
      </w:r>
      <w:r/>
    </w:p>
    <w:p>
      <w:pPr>
        <w:pStyle w:val="1103"/>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03"/>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03"/>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03"/>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03"/>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四、对招标文件内容有不同意见的偏离说明：（若无，表示同意全面按照招标文件的所有要求执行）</w:t>
      </w:r>
      <w:r/>
    </w:p>
    <w:p>
      <w:pPr>
        <w:pStyle w:val="1103"/>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03"/>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03"/>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03"/>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0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五、我单位在发生未履行所作承诺义务的情况时，无条件接受靖江市政府采购管理部门按有关规定进行的处罚。</w:t>
      </w:r>
      <w:r/>
    </w:p>
    <w:p>
      <w:pPr>
        <w:pStyle w:val="1104"/>
        <w:rPr>
          <w:color w:val="auto"/>
          <w:highlight w:val="none"/>
        </w:rPr>
      </w:pPr>
      <w:r>
        <w:rPr>
          <w:color w:val="auto"/>
          <w:highlight w:val="none"/>
        </w:rPr>
      </w:r>
      <w:r/>
    </w:p>
    <w:p>
      <w:pPr>
        <w:pStyle w:val="1103"/>
        <w:ind w:firstLine="60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3"/>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103"/>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3"/>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10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3"/>
        <w:jc w:val="center"/>
        <w:spacing w:line="400" w:lineRule="exact"/>
        <w:rPr>
          <w:rFonts w:ascii="仿宋" w:hAnsi="仿宋" w:eastAsia="仿宋"/>
          <w:color w:val="auto"/>
          <w:sz w:val="24"/>
          <w:highlight w:val="none"/>
        </w:rPr>
      </w:pPr>
      <w:r>
        <w:rPr>
          <w:rFonts w:ascii="仿宋" w:hAnsi="仿宋" w:eastAsia="仿宋"/>
          <w:color w:val="auto"/>
          <w:sz w:val="24"/>
          <w:highlight w:val="none"/>
        </w:rPr>
        <w:t xml:space="preserve">              日期：     年    月    日</w:t>
      </w:r>
      <w:r/>
    </w:p>
    <w:p>
      <w:pPr>
        <w:pStyle w:val="1103"/>
        <w:spacing w:line="400" w:lineRule="exact"/>
        <w:rPr>
          <w:rFonts w:ascii="仿宋" w:hAnsi="仿宋" w:eastAsia="仿宋"/>
          <w:color w:val="auto"/>
          <w:sz w:val="24"/>
          <w:highlight w:val="none"/>
        </w:rPr>
      </w:pPr>
      <w:r>
        <w:rPr>
          <w:rFonts w:ascii="仿宋" w:hAnsi="仿宋" w:eastAsia="仿宋"/>
          <w:color w:val="auto"/>
          <w:sz w:val="24"/>
          <w:highlight w:val="none"/>
        </w:rPr>
      </w:r>
      <w:r/>
    </w:p>
    <w:p>
      <w:pPr>
        <w:pStyle w:val="1103"/>
        <w:spacing w:line="360" w:lineRule="exact"/>
        <w:rPr>
          <w:rFonts w:ascii="仿宋" w:hAnsi="仿宋" w:eastAsia="仿宋"/>
          <w:color w:val="auto"/>
          <w:sz w:val="28"/>
          <w:szCs w:val="28"/>
          <w:highlight w:val="none"/>
        </w:rPr>
        <w:outlineLvl w:val="1"/>
      </w:pPr>
      <w:r>
        <w:rPr>
          <w:rFonts w:ascii="仿宋" w:hAnsi="仿宋" w:eastAsia="仿宋"/>
          <w:color w:val="auto"/>
          <w:sz w:val="28"/>
          <w:szCs w:val="28"/>
          <w:highlight w:val="none"/>
        </w:rPr>
      </w:r>
      <w:r/>
    </w:p>
    <w:p>
      <w:pPr>
        <w:pStyle w:val="1103"/>
        <w:rPr>
          <w:color w:val="auto"/>
          <w:highlight w:val="none"/>
        </w:rPr>
        <w:sectPr>
          <w:footnotePr/>
          <w:endnotePr/>
          <w:type w:val="nextPage"/>
          <w:pgSz w:w="11905" w:h="16838" w:orient="portrait"/>
          <w:pgMar w:top="1213" w:right="1417" w:bottom="1400" w:left="1417" w:header="850" w:footer="992" w:gutter="0"/>
          <w:cols w:num="1" w:sep="0" w:space="0" w:equalWidth="1"/>
          <w:docGrid w:linePitch="360"/>
          <w:titlePg/>
        </w:sectPr>
      </w:pPr>
      <w:r>
        <w:rPr>
          <w:color w:val="auto"/>
          <w:highlight w:val="none"/>
        </w:rPr>
      </w:r>
      <w:r/>
    </w:p>
    <w:p>
      <w:pPr>
        <w:pStyle w:val="1364"/>
        <w:ind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（五）</w:t>
      </w:r>
      <w:r>
        <w:rPr>
          <w:rFonts w:ascii="仿宋" w:hAnsi="仿宋" w:eastAsia="仿宋"/>
          <w:bCs w:val="0"/>
          <w:color w:val="auto"/>
          <w:sz w:val="28"/>
          <w:szCs w:val="28"/>
          <w:highlight w:val="none"/>
        </w:rPr>
        <w:t xml:space="preserve">政府采购诚信承诺书</w:t>
      </w:r>
      <w:r/>
    </w:p>
    <w:p>
      <w:pPr>
        <w:pStyle w:val="1103"/>
        <w:spacing w:line="360" w:lineRule="auto"/>
        <w:rPr>
          <w:rFonts w:ascii="仿宋" w:hAnsi="仿宋" w:eastAsia="仿宋"/>
          <w:b/>
          <w:bCs/>
          <w:color w:val="auto"/>
          <w:sz w:val="24"/>
          <w:highlight w:val="none"/>
        </w:rPr>
      </w:pPr>
      <w:r>
        <w:rPr>
          <w:rFonts w:hint="eastAsia" w:ascii="仿宋" w:hAnsi="仿宋" w:eastAsia="仿宋"/>
          <w:b/>
          <w:bCs/>
          <w:color w:val="auto"/>
          <w:sz w:val="24"/>
          <w:highlight w:val="none"/>
        </w:rPr>
        <w:t xml:space="preserve">泰州市靖江生态环境局</w:t>
      </w:r>
      <w:r>
        <w:rPr>
          <w:rFonts w:ascii="仿宋" w:hAnsi="仿宋" w:eastAsia="仿宋"/>
          <w:b/>
          <w:bCs/>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我公司（供应商名称）已详细阅读了项目（项目编号：）磋商文件，自愿参加本次磋商响应，现就有关事项做出郑重承诺如下：</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1、所提供的一切资料都是真实、准确、完整的；</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2、不以他人名义响应或以其他方式弄虚作假，骗取中标；</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3、不与其他供应商相互串通响应；</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4、不向采购人或磋商小组行贿以牟取中标；</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5、在领取磋商文件后，准时参加开标；</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6、在以往的磋商采购活动中，无重大违法、违规的不良记录；或虽有不良记录，但已超过处理期限；</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7、未被地市级及以上行政主管部门做出取消响应资格的处罚且该处罚在有效期内的；</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8、本单位一旦中标，将严格按照响应文件所承诺的报价、质量、工期、响应方案等内容组织实施；</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9、本单位一旦中标，将按规定及时与采购人签订合同；</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10、本单位保证中标后不转包，若有分包须征得采购人同意；</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11、本承诺书将成为本单位响应文件的一部分，与响应文件具有同等的法律效力。</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单位若有违反承诺内容的任一行为或者经磋商小组认定有串通响应嫌疑的，愿取消响应资格，列入政府采购不良行为记录，并根据《中华人民共和国政府采购法》、《政府竞争性磋商响应采购方式管理暂行办法》（财库[2014]214号）等相关法律法规中的相关条款进行处罚。如已中标的，自动取消响应资格；给采购人造成损失的，依法承担赔偿责任。</w:t>
      </w:r>
      <w:r/>
    </w:p>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p>
    <w:p>
      <w:pPr>
        <w:pStyle w:val="1104"/>
        <w:rPr>
          <w:color w:val="auto"/>
          <w:highlight w:val="none"/>
        </w:rPr>
      </w:pPr>
      <w:r>
        <w:rPr>
          <w:color w:val="auto"/>
          <w:highlight w:val="none"/>
        </w:rPr>
      </w:r>
      <w:r/>
    </w:p>
    <w:p>
      <w:pPr>
        <w:pStyle w:val="1103"/>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w:t>
      </w:r>
      <w:r>
        <w:rPr>
          <w:rFonts w:ascii="仿宋" w:hAnsi="仿宋" w:eastAsia="仿宋"/>
          <w:bCs/>
          <w:color w:val="auto"/>
          <w:sz w:val="24"/>
          <w:highlight w:val="none"/>
        </w:rPr>
        <w:t xml:space="preserve">投标单位</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rPr>
          <w:rFonts w:ascii="仿宋" w:hAnsi="仿宋" w:eastAsia="仿宋"/>
          <w:color w:val="auto"/>
          <w:sz w:val="24"/>
          <w:highlight w:val="none"/>
        </w:rPr>
        <w:t xml:space="preserve">：</w:t>
      </w:r>
      <w:r/>
    </w:p>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03"/>
        <w:ind w:firstLine="720"/>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年   月   日</w:t>
      </w:r>
      <w:r/>
    </w:p>
    <w:p>
      <w:pPr>
        <w:pStyle w:val="1103"/>
        <w:rPr>
          <w:color w:val="auto"/>
          <w:highlight w:val="none"/>
        </w:rPr>
        <w:sectPr>
          <w:footnotePr/>
          <w:endnotePr/>
          <w:type w:val="nextPage"/>
          <w:pgSz w:w="11905" w:h="16838" w:orient="portrait"/>
          <w:pgMar w:top="1213" w:right="1417" w:bottom="1400" w:left="1417" w:header="850" w:footer="992" w:gutter="0"/>
          <w:cols w:num="1" w:sep="0" w:space="0" w:equalWidth="1"/>
          <w:docGrid w:linePitch="360"/>
          <w:titlePg/>
        </w:sectPr>
      </w:pPr>
      <w:r>
        <w:rPr>
          <w:color w:val="auto"/>
          <w:highlight w:val="none"/>
        </w:rPr>
      </w:r>
      <w:r/>
    </w:p>
    <w:p>
      <w:pPr>
        <w:pStyle w:val="1103"/>
        <w:jc w:val="center"/>
        <w:spacing w:line="360" w:lineRule="auto"/>
        <w:rPr>
          <w:rFonts w:ascii="Arial" w:hAnsi="Arial" w:eastAsia="仿宋_GB2312"/>
          <w:b/>
          <w:bCs/>
          <w:color w:val="auto"/>
          <w:sz w:val="32"/>
          <w:szCs w:val="32"/>
          <w:highlight w:val="none"/>
          <w:lang w:val="zh-CN"/>
        </w:rPr>
      </w:pPr>
      <w:r>
        <w:rPr>
          <w:rFonts w:hint="eastAsia" w:ascii="Arial" w:hAnsi="Arial" w:eastAsia="仿宋_GB2312"/>
          <w:b/>
          <w:bCs/>
          <w:color w:val="auto"/>
          <w:sz w:val="32"/>
          <w:szCs w:val="32"/>
          <w:highlight w:val="none"/>
        </w:rPr>
        <w:t xml:space="preserve">四</w:t>
      </w:r>
      <w:r>
        <w:rPr>
          <w:rFonts w:hint="eastAsia" w:ascii="Arial" w:hAnsi="Arial" w:eastAsia="仿宋_GB2312"/>
          <w:b/>
          <w:bCs/>
          <w:color w:val="auto"/>
          <w:sz w:val="32"/>
          <w:szCs w:val="32"/>
          <w:highlight w:val="none"/>
          <w:lang w:val="zh-CN"/>
        </w:rPr>
        <w:t xml:space="preserve">、综合评审评分项</w:t>
      </w:r>
      <w:r/>
    </w:p>
    <w:p>
      <w:pPr>
        <w:jc w:val="center"/>
        <w:rPr>
          <w:rFonts w:ascii="Arial" w:hAnsi="Arial" w:eastAsia="仿宋_GB2312"/>
          <w:b/>
          <w:bCs/>
          <w:color w:val="auto"/>
          <w:sz w:val="32"/>
          <w:szCs w:val="32"/>
          <w:highlight w:val="none"/>
          <w:lang w:val="zh-CN"/>
        </w:rPr>
      </w:pPr>
      <w:r>
        <w:rPr>
          <w:rFonts w:hint="eastAsia" w:ascii="Arial" w:hAnsi="Arial" w:eastAsia="仿宋_GB2312"/>
          <w:b/>
          <w:bCs/>
          <w:color w:val="auto"/>
          <w:sz w:val="32"/>
          <w:szCs w:val="32"/>
          <w:highlight w:val="none"/>
          <w:lang w:val="zh-CN"/>
        </w:rPr>
        <w:t xml:space="preserve">（一）报价部分</w:t>
      </w:r>
      <w:r/>
    </w:p>
    <w:p>
      <w:pPr>
        <w:jc w:val="center"/>
        <w:rPr>
          <w:rFonts w:ascii="Arial" w:hAnsi="Arial" w:eastAsia="仿宋_GB2312"/>
          <w:b/>
          <w:bCs/>
          <w:color w:val="auto"/>
          <w:sz w:val="32"/>
          <w:szCs w:val="32"/>
          <w:highlight w:val="none"/>
          <w:lang w:val="zh-CN"/>
        </w:rPr>
      </w:pPr>
      <w:r>
        <w:rPr>
          <w:rFonts w:hint="eastAsia" w:ascii="Arial" w:hAnsi="Arial" w:eastAsia="仿宋_GB2312"/>
          <w:b/>
          <w:bCs/>
          <w:color w:val="auto"/>
          <w:sz w:val="32"/>
          <w:szCs w:val="32"/>
          <w:highlight w:val="none"/>
          <w:lang w:val="zh-CN"/>
        </w:rPr>
        <w:t xml:space="preserve">1、响应</w:t>
      </w:r>
      <w:r>
        <w:rPr>
          <w:rFonts w:ascii="Arial" w:hAnsi="Arial" w:eastAsia="仿宋_GB2312"/>
          <w:b/>
          <w:bCs/>
          <w:color w:val="auto"/>
          <w:sz w:val="32"/>
          <w:szCs w:val="32"/>
          <w:highlight w:val="none"/>
          <w:lang w:val="zh-CN"/>
        </w:rPr>
        <w:t xml:space="preserve">报价明细表（若有）</w:t>
      </w:r>
      <w:r/>
    </w:p>
    <w:p>
      <w:pPr>
        <w:pStyle w:val="1365"/>
        <w:rPr>
          <w:rFonts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项目名称：</w:t>
      </w:r>
      <w:r/>
    </w:p>
    <w:p>
      <w:pPr>
        <w:pStyle w:val="1365"/>
        <w:rPr>
          <w:rFonts w:ascii="仿宋" w:hAnsi="仿宋" w:eastAsia="仿宋"/>
          <w:color w:val="auto"/>
          <w:sz w:val="24"/>
          <w:szCs w:val="24"/>
          <w:highlight w:val="none"/>
        </w:rPr>
      </w:pPr>
      <w:r>
        <w:rPr>
          <w:rFonts w:ascii="仿宋" w:hAnsi="仿宋" w:eastAsia="仿宋"/>
          <w:color w:val="auto"/>
          <w:sz w:val="24"/>
          <w:szCs w:val="24"/>
          <w:highlight w:val="none"/>
        </w:rPr>
        <w:t xml:space="preserve">项目编号：</w:t>
      </w:r>
      <w:r/>
    </w:p>
    <w:tbl>
      <w:tblPr>
        <w:tblStyle w:val="896"/>
        <w:tblW w:w="943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2059"/>
        <w:gridCol w:w="924"/>
        <w:gridCol w:w="993"/>
        <w:gridCol w:w="2126"/>
        <w:gridCol w:w="2585"/>
      </w:tblGrid>
      <w:tr>
        <w:trPr>
          <w:trHeight w:val="595"/>
        </w:trPr>
        <w:tc>
          <w:tcPr>
            <w:tcW w:w="743" w:type="dxa"/>
            <w:vAlign w:val="center"/>
            <w:textDirection w:val="lrTb"/>
            <w:noWrap/>
          </w:tcPr>
          <w:p>
            <w:pPr>
              <w:pStyle w:val="1103"/>
              <w:jc w:val="center"/>
              <w:rPr>
                <w:rFonts w:ascii="仿宋" w:hAnsi="仿宋" w:eastAsia="仿宋"/>
                <w:color w:val="auto"/>
                <w:sz w:val="24"/>
                <w:szCs w:val="24"/>
                <w:highlight w:val="none"/>
              </w:rPr>
            </w:pPr>
            <w:r>
              <w:rPr>
                <w:rFonts w:ascii="仿宋" w:hAnsi="仿宋" w:eastAsia="仿宋"/>
                <w:color w:val="auto"/>
                <w:sz w:val="24"/>
                <w:highlight w:val="none"/>
              </w:rPr>
              <w:t xml:space="preserve">序号</w:t>
            </w:r>
            <w:r/>
          </w:p>
        </w:tc>
        <w:tc>
          <w:tcPr>
            <w:tcW w:w="2059" w:type="dxa"/>
            <w:vAlign w:val="center"/>
            <w:textDirection w:val="lrTb"/>
            <w:noWrap/>
          </w:tcPr>
          <w:p>
            <w:pPr>
              <w:pStyle w:val="1103"/>
              <w:jc w:val="center"/>
              <w:rPr>
                <w:rFonts w:ascii="仿宋" w:hAnsi="仿宋" w:eastAsia="仿宋"/>
                <w:color w:val="auto"/>
                <w:sz w:val="24"/>
                <w:szCs w:val="24"/>
                <w:highlight w:val="none"/>
              </w:rPr>
            </w:pPr>
            <w:r>
              <w:rPr>
                <w:rFonts w:ascii="仿宋" w:hAnsi="仿宋" w:eastAsia="仿宋"/>
                <w:color w:val="auto"/>
                <w:sz w:val="24"/>
                <w:highlight w:val="none"/>
              </w:rPr>
              <w:t xml:space="preserve">分项名称</w:t>
            </w:r>
            <w:r/>
          </w:p>
        </w:tc>
        <w:tc>
          <w:tcPr>
            <w:tcW w:w="924" w:type="dxa"/>
            <w:vAlign w:val="center"/>
            <w:textDirection w:val="lrTb"/>
            <w:noWrap/>
          </w:tcPr>
          <w:p>
            <w:pPr>
              <w:pStyle w:val="1103"/>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数量</w:t>
            </w:r>
            <w:r/>
          </w:p>
        </w:tc>
        <w:tc>
          <w:tcPr>
            <w:tcW w:w="993" w:type="dxa"/>
            <w:vAlign w:val="center"/>
            <w:textDirection w:val="lrTb"/>
            <w:noWrap/>
          </w:tcPr>
          <w:p>
            <w:pPr>
              <w:pStyle w:val="1103"/>
              <w:jc w:val="center"/>
              <w:rPr>
                <w:rFonts w:ascii="仿宋" w:hAnsi="仿宋" w:eastAsia="仿宋"/>
                <w:color w:val="auto"/>
                <w:sz w:val="24"/>
                <w:szCs w:val="24"/>
                <w:highlight w:val="none"/>
              </w:rPr>
            </w:pPr>
            <w:r>
              <w:rPr>
                <w:rFonts w:ascii="仿宋" w:hAnsi="仿宋" w:eastAsia="仿宋"/>
                <w:color w:val="auto"/>
                <w:sz w:val="24"/>
                <w:highlight w:val="none"/>
              </w:rPr>
              <w:t xml:space="preserve">单位</w:t>
            </w:r>
            <w:r/>
          </w:p>
        </w:tc>
        <w:tc>
          <w:tcPr>
            <w:tcW w:w="2126" w:type="dxa"/>
            <w:vAlign w:val="center"/>
            <w:textDirection w:val="lrTb"/>
            <w:noWrap/>
          </w:tcPr>
          <w:p>
            <w:pPr>
              <w:pStyle w:val="1103"/>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投标单价（元）</w:t>
            </w:r>
            <w:r/>
          </w:p>
        </w:tc>
        <w:tc>
          <w:tcPr>
            <w:tcW w:w="2585" w:type="dxa"/>
            <w:vAlign w:val="center"/>
            <w:textDirection w:val="lrTb"/>
            <w:noWrap/>
          </w:tcPr>
          <w:p>
            <w:pPr>
              <w:pStyle w:val="1103"/>
              <w:jc w:val="center"/>
              <w:rPr>
                <w:rFonts w:ascii="仿宋" w:hAnsi="仿宋" w:eastAsia="仿宋"/>
                <w:color w:val="auto"/>
                <w:sz w:val="24"/>
                <w:szCs w:val="24"/>
                <w:highlight w:val="none"/>
              </w:rPr>
            </w:pPr>
            <w:r>
              <w:rPr>
                <w:rFonts w:ascii="仿宋" w:hAnsi="仿宋" w:eastAsia="仿宋"/>
                <w:color w:val="auto"/>
                <w:sz w:val="24"/>
                <w:highlight w:val="none"/>
              </w:rPr>
              <w:t xml:space="preserve">备注</w:t>
            </w:r>
            <w:r/>
          </w:p>
        </w:tc>
      </w:tr>
      <w:tr>
        <w:trPr>
          <w:trHeight w:val="408"/>
        </w:trPr>
        <w:tc>
          <w:tcPr>
            <w:tcW w:w="743"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t xml:space="preserve">1</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993"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2126"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2585" w:type="dxa"/>
            <w:vAlign w:val="center"/>
            <w:textDirection w:val="lrTb"/>
            <w:noWrap/>
          </w:tcPr>
          <w:p>
            <w:pPr>
              <w:pStyle w:val="1103"/>
              <w:jc w:val="center"/>
              <w:rPr>
                <w:rFonts w:ascii="仿宋" w:hAnsi="仿宋" w:eastAsia="仿宋"/>
                <w:b/>
                <w:color w:val="auto"/>
                <w:sz w:val="24"/>
                <w:highlight w:val="none"/>
              </w:rPr>
            </w:pPr>
            <w:r>
              <w:rPr>
                <w:rFonts w:ascii="仿宋" w:hAnsi="仿宋" w:eastAsia="仿宋"/>
                <w:b/>
                <w:color w:val="auto"/>
                <w:sz w:val="24"/>
                <w:highlight w:val="none"/>
              </w:rPr>
            </w:r>
            <w:r/>
          </w:p>
        </w:tc>
      </w:tr>
      <w:tr>
        <w:trPr>
          <w:trHeight w:val="417"/>
        </w:trPr>
        <w:tc>
          <w:tcPr>
            <w:tcW w:w="743"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t xml:space="preserve">2</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993"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2126"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2585" w:type="dxa"/>
            <w:vAlign w:val="center"/>
            <w:textDirection w:val="lrTb"/>
            <w:noWrap/>
          </w:tcPr>
          <w:p>
            <w:pPr>
              <w:pStyle w:val="1103"/>
              <w:jc w:val="center"/>
              <w:rPr>
                <w:rFonts w:ascii="仿宋" w:hAnsi="仿宋" w:eastAsia="仿宋"/>
                <w:b/>
                <w:color w:val="auto"/>
                <w:sz w:val="24"/>
                <w:highlight w:val="none"/>
              </w:rPr>
            </w:pPr>
            <w:r>
              <w:rPr>
                <w:rFonts w:ascii="仿宋" w:hAnsi="仿宋" w:eastAsia="仿宋"/>
                <w:b/>
                <w:color w:val="auto"/>
                <w:sz w:val="24"/>
                <w:highlight w:val="none"/>
              </w:rPr>
            </w:r>
            <w:r/>
          </w:p>
        </w:tc>
      </w:tr>
      <w:tr>
        <w:trPr>
          <w:trHeight w:val="444"/>
        </w:trPr>
        <w:tc>
          <w:tcPr>
            <w:tcW w:w="743"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t xml:space="preserve">3</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993"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2126"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2585"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44"/>
        </w:trPr>
        <w:tc>
          <w:tcPr>
            <w:tcW w:w="743"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t xml:space="preserve">4</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993"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2126"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2585"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44"/>
        </w:trPr>
        <w:tc>
          <w:tcPr>
            <w:tcW w:w="743" w:type="dxa"/>
            <w:vAlign w:val="center"/>
            <w:textDirection w:val="lrTb"/>
            <w:noWrap/>
          </w:tcPr>
          <w:p>
            <w:pPr>
              <w:pStyle w:val="1103"/>
              <w:jc w:val="center"/>
              <w:rPr>
                <w:rFonts w:ascii="仿宋" w:hAnsi="仿宋" w:eastAsia="仿宋"/>
                <w:color w:val="auto"/>
                <w:szCs w:val="21"/>
                <w:highlight w:val="none"/>
              </w:rPr>
            </w:pPr>
            <w:r>
              <w:rPr>
                <w:rFonts w:hint="eastAsia" w:ascii="仿宋" w:hAnsi="仿宋" w:eastAsia="仿宋"/>
                <w:color w:val="auto"/>
                <w:szCs w:val="21"/>
                <w:highlight w:val="none"/>
              </w:rPr>
              <w:t xml:space="preserve">5</w:t>
            </w:r>
            <w:r/>
          </w:p>
        </w:tc>
        <w:tc>
          <w:tcPr>
            <w:tcW w:w="2059"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924"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r>
            <w:r/>
          </w:p>
        </w:tc>
        <w:tc>
          <w:tcPr>
            <w:tcW w:w="993" w:type="dxa"/>
            <w:vAlign w:val="center"/>
            <w:textDirection w:val="lrTb"/>
            <w:noWrap/>
          </w:tcPr>
          <w:p>
            <w:pPr>
              <w:pStyle w:val="1103"/>
              <w:jc w:val="center"/>
              <w:rPr>
                <w:rFonts w:ascii="黑体" w:hAnsi="黑体" w:eastAsia="黑体"/>
                <w:color w:val="auto"/>
                <w:szCs w:val="21"/>
                <w:highlight w:val="none"/>
              </w:rPr>
            </w:pPr>
            <w:r>
              <w:rPr>
                <w:rFonts w:ascii="黑体" w:hAnsi="黑体" w:eastAsia="黑体"/>
                <w:color w:val="auto"/>
                <w:szCs w:val="21"/>
                <w:highlight w:val="none"/>
              </w:rPr>
            </w:r>
            <w:r/>
          </w:p>
        </w:tc>
        <w:tc>
          <w:tcPr>
            <w:tcW w:w="2126"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r>
            <w:r/>
          </w:p>
        </w:tc>
        <w:tc>
          <w:tcPr>
            <w:tcW w:w="2585"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r>
            <w:r/>
          </w:p>
        </w:tc>
      </w:tr>
      <w:tr>
        <w:trPr>
          <w:trHeight w:val="444"/>
        </w:trPr>
        <w:tc>
          <w:tcPr>
            <w:tcW w:w="743" w:type="dxa"/>
            <w:vAlign w:val="center"/>
            <w:textDirection w:val="lrTb"/>
            <w:noWrap/>
          </w:tcPr>
          <w:p>
            <w:pPr>
              <w:pStyle w:val="1103"/>
              <w:jc w:val="center"/>
              <w:rPr>
                <w:rFonts w:ascii="仿宋" w:hAnsi="仿宋" w:eastAsia="仿宋"/>
                <w:color w:val="auto"/>
                <w:szCs w:val="21"/>
                <w:highlight w:val="none"/>
              </w:rPr>
            </w:pPr>
            <w:r>
              <w:rPr>
                <w:rFonts w:hint="eastAsia" w:ascii="仿宋" w:hAnsi="仿宋" w:eastAsia="仿宋"/>
                <w:color w:val="auto"/>
                <w:szCs w:val="21"/>
                <w:highlight w:val="none"/>
              </w:rPr>
              <w:t xml:space="preserve">6</w:t>
            </w:r>
            <w:r/>
          </w:p>
        </w:tc>
        <w:tc>
          <w:tcPr>
            <w:tcW w:w="2059"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924"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r>
            <w:r/>
          </w:p>
        </w:tc>
        <w:tc>
          <w:tcPr>
            <w:tcW w:w="993"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r>
            <w:r/>
          </w:p>
        </w:tc>
        <w:tc>
          <w:tcPr>
            <w:tcW w:w="2126"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r>
            <w:r/>
          </w:p>
        </w:tc>
        <w:tc>
          <w:tcPr>
            <w:tcW w:w="2585"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r>
            <w:r/>
          </w:p>
        </w:tc>
      </w:tr>
      <w:tr>
        <w:trPr>
          <w:trHeight w:val="444"/>
        </w:trPr>
        <w:tc>
          <w:tcPr>
            <w:tcW w:w="743"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t xml:space="preserve">...</w:t>
            </w:r>
            <w:r/>
          </w:p>
        </w:tc>
        <w:tc>
          <w:tcPr>
            <w:tcW w:w="2059"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t xml:space="preserve">...</w:t>
            </w:r>
            <w:r/>
          </w:p>
        </w:tc>
        <w:tc>
          <w:tcPr>
            <w:tcW w:w="924"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r>
            <w:r/>
          </w:p>
        </w:tc>
        <w:tc>
          <w:tcPr>
            <w:tcW w:w="993"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r>
            <w:r/>
          </w:p>
        </w:tc>
        <w:tc>
          <w:tcPr>
            <w:tcW w:w="2126"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r>
            <w:r/>
          </w:p>
        </w:tc>
        <w:tc>
          <w:tcPr>
            <w:tcW w:w="2585"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r>
            <w:r/>
          </w:p>
        </w:tc>
      </w:tr>
      <w:tr>
        <w:trPr>
          <w:trHeight w:val="444"/>
        </w:trPr>
        <w:tc>
          <w:tcPr>
            <w:tcW w:w="743"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r>
            <w:r/>
          </w:p>
        </w:tc>
        <w:tc>
          <w:tcPr>
            <w:tcW w:w="2059"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合计</w:t>
            </w:r>
            <w:r/>
          </w:p>
        </w:tc>
        <w:tc>
          <w:tcPr>
            <w:tcW w:w="924"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r>
            <w:r/>
          </w:p>
        </w:tc>
        <w:tc>
          <w:tcPr>
            <w:tcW w:w="993"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r>
            <w:r/>
          </w:p>
        </w:tc>
        <w:tc>
          <w:tcPr>
            <w:tcW w:w="2126"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r>
            <w:r/>
          </w:p>
        </w:tc>
        <w:tc>
          <w:tcPr>
            <w:tcW w:w="2585"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r>
            <w:r/>
          </w:p>
        </w:tc>
      </w:tr>
    </w:tbl>
    <w:p>
      <w:pPr>
        <w:pStyle w:val="1103"/>
        <w:ind w:firstLine="560"/>
        <w:spacing w:line="300" w:lineRule="auto"/>
        <w:rPr>
          <w:rFonts w:ascii="仿宋" w:hAnsi="仿宋" w:eastAsia="仿宋"/>
          <w:color w:val="auto"/>
          <w:sz w:val="24"/>
          <w:szCs w:val="24"/>
          <w:highlight w:val="none"/>
        </w:rPr>
      </w:pPr>
      <w:r>
        <w:rPr>
          <w:rFonts w:ascii="仿宋" w:hAnsi="仿宋" w:eastAsia="仿宋"/>
          <w:color w:val="auto"/>
          <w:spacing w:val="20"/>
          <w:sz w:val="24"/>
          <w:highlight w:val="none"/>
        </w:rPr>
        <w:t xml:space="preserve">注：1、该表格中的“合计”必须与附件《</w:t>
      </w:r>
      <w:r>
        <w:rPr>
          <w:rFonts w:hint="eastAsia" w:ascii="仿宋" w:hAnsi="仿宋" w:eastAsia="仿宋"/>
          <w:color w:val="auto"/>
          <w:spacing w:val="20"/>
          <w:sz w:val="24"/>
          <w:highlight w:val="none"/>
        </w:rPr>
        <w:t xml:space="preserve">首</w:t>
      </w:r>
      <w:r>
        <w:rPr>
          <w:rFonts w:ascii="仿宋" w:hAnsi="仿宋" w:eastAsia="仿宋"/>
          <w:color w:val="auto"/>
          <w:spacing w:val="20"/>
          <w:sz w:val="24"/>
          <w:highlight w:val="none"/>
        </w:rPr>
        <w:t xml:space="preserve">轮报价一览表》中的“服务费”相等，其他服务类别仅报出单价不作汇总。2、如以上表格填写不适用，可根据项目特点自行编写。</w:t>
      </w:r>
      <w:r/>
    </w:p>
    <w:p>
      <w:pPr>
        <w:pStyle w:val="1103"/>
        <w:rPr>
          <w:rFonts w:ascii="仿宋" w:hAnsi="仿宋" w:eastAsia="仿宋"/>
          <w:bCs/>
          <w:color w:val="auto"/>
          <w:sz w:val="24"/>
          <w:highlight w:val="none"/>
        </w:rPr>
      </w:pPr>
      <w:r>
        <w:rPr>
          <w:rFonts w:ascii="仿宋" w:hAnsi="仿宋" w:eastAsia="仿宋"/>
          <w:bCs/>
          <w:color w:val="auto"/>
          <w:sz w:val="24"/>
          <w:highlight w:val="none"/>
        </w:rPr>
      </w:r>
      <w:r/>
    </w:p>
    <w:p>
      <w:pPr>
        <w:pStyle w:val="1103"/>
        <w:rPr>
          <w:rFonts w:ascii="仿宋" w:hAnsi="仿宋" w:eastAsia="仿宋"/>
          <w:bCs/>
          <w:color w:val="auto"/>
          <w:sz w:val="24"/>
          <w:highlight w:val="none"/>
        </w:rPr>
      </w:pPr>
      <w:r>
        <w:rPr>
          <w:rFonts w:ascii="仿宋" w:hAnsi="仿宋" w:eastAsia="仿宋"/>
          <w:bCs/>
          <w:color w:val="auto"/>
          <w:sz w:val="24"/>
          <w:highlight w:val="none"/>
        </w:rPr>
      </w:r>
      <w:r/>
    </w:p>
    <w:p>
      <w:pPr>
        <w:pStyle w:val="1103"/>
        <w:rPr>
          <w:rFonts w:ascii="仿宋" w:hAnsi="仿宋" w:eastAsia="仿宋"/>
          <w:bCs/>
          <w:color w:val="auto"/>
          <w:sz w:val="24"/>
          <w:highlight w:val="none"/>
        </w:rPr>
      </w:pPr>
      <w:r>
        <w:rPr>
          <w:rFonts w:hint="eastAsia" w:ascii="仿宋" w:hAnsi="仿宋" w:eastAsia="仿宋"/>
          <w:bCs/>
          <w:color w:val="auto"/>
          <w:sz w:val="24"/>
          <w:highlight w:val="none"/>
        </w:rPr>
        <w:t xml:space="preserve">投标单位（电子签章）</w:t>
      </w:r>
      <w:r>
        <w:rPr>
          <w:rFonts w:ascii="仿宋" w:hAnsi="仿宋" w:eastAsia="仿宋"/>
          <w:bCs/>
          <w:color w:val="auto"/>
          <w:sz w:val="24"/>
          <w:highlight w:val="none"/>
        </w:rPr>
        <w:t xml:space="preserve">：</w:t>
      </w:r>
      <w:r/>
    </w:p>
    <w:p>
      <w:pPr>
        <w:pStyle w:val="1103"/>
        <w:rPr>
          <w:rFonts w:ascii="仿宋" w:hAnsi="仿宋" w:eastAsia="仿宋"/>
          <w:color w:val="auto"/>
          <w:sz w:val="24"/>
          <w:highlight w:val="none"/>
        </w:rPr>
      </w:pPr>
      <w:r>
        <w:rPr>
          <w:rFonts w:ascii="仿宋" w:hAnsi="仿宋" w:eastAsia="仿宋"/>
          <w:color w:val="auto"/>
          <w:sz w:val="24"/>
          <w:highlight w:val="none"/>
        </w:rPr>
      </w:r>
      <w:r/>
    </w:p>
    <w:p>
      <w:pPr>
        <w:pStyle w:val="1103"/>
        <w:rPr>
          <w:rFonts w:ascii="仿宋" w:hAnsi="仿宋" w:eastAsia="仿宋"/>
          <w:color w:val="auto"/>
          <w:sz w:val="24"/>
          <w:highlight w:val="none"/>
        </w:rPr>
      </w:pPr>
      <w:r>
        <w:rPr>
          <w:rFonts w:ascii="仿宋" w:hAnsi="仿宋" w:eastAsia="仿宋"/>
          <w:color w:val="auto"/>
          <w:sz w:val="24"/>
          <w:highlight w:val="none"/>
        </w:rPr>
      </w:r>
      <w:r/>
    </w:p>
    <w:p>
      <w:pPr>
        <w:pStyle w:val="1103"/>
        <w:rPr>
          <w:rFonts w:ascii="仿宋" w:hAnsi="仿宋" w:eastAsia="仿宋"/>
          <w:color w:val="auto"/>
          <w:sz w:val="24"/>
          <w:highlight w:val="none"/>
        </w:rPr>
      </w:pPr>
      <w:r>
        <w:rPr>
          <w:rFonts w:ascii="仿宋" w:hAnsi="仿宋" w:eastAsia="仿宋"/>
          <w:color w:val="auto"/>
          <w:sz w:val="24"/>
          <w:highlight w:val="none"/>
        </w:rPr>
      </w:r>
      <w:r/>
    </w:p>
    <w:p>
      <w:pPr>
        <w:pStyle w:val="1103"/>
        <w:rPr>
          <w:rFonts w:ascii="仿宋" w:hAnsi="仿宋" w:eastAsia="仿宋"/>
          <w:color w:val="auto"/>
          <w:sz w:val="24"/>
          <w:highlight w:val="none"/>
        </w:rPr>
      </w:pPr>
      <w:r>
        <w:rPr>
          <w:rFonts w:ascii="仿宋" w:hAnsi="仿宋" w:eastAsia="仿宋"/>
          <w:color w:val="auto"/>
          <w:sz w:val="24"/>
          <w:highlight w:val="none"/>
        </w:rPr>
        <w:t xml:space="preserve">时间：   年   月  日</w:t>
      </w:r>
      <w:r/>
    </w:p>
    <w:p>
      <w:pPr>
        <w:pStyle w:val="1104"/>
        <w:rPr>
          <w:rFonts w:ascii="仿宋" w:hAnsi="仿宋" w:eastAsia="仿宋"/>
          <w:color w:val="auto"/>
          <w:highlight w:val="none"/>
        </w:rPr>
      </w:pPr>
      <w:r>
        <w:rPr>
          <w:rFonts w:ascii="仿宋" w:hAnsi="仿宋" w:eastAsia="仿宋"/>
          <w:color w:val="auto"/>
          <w:highlight w:val="none"/>
        </w:rPr>
      </w:r>
      <w:r/>
    </w:p>
    <w:p>
      <w:pPr>
        <w:pStyle w:val="1103"/>
        <w:rPr>
          <w:rFonts w:ascii="仿宋" w:hAnsi="仿宋" w:eastAsia="仿宋"/>
          <w:color w:val="auto"/>
          <w:sz w:val="24"/>
          <w:highlight w:val="none"/>
        </w:rPr>
      </w:pPr>
      <w:r>
        <w:rPr>
          <w:rFonts w:ascii="仿宋" w:hAnsi="仿宋" w:eastAsia="仿宋"/>
          <w:color w:val="auto"/>
          <w:sz w:val="24"/>
          <w:highlight w:val="none"/>
        </w:rPr>
      </w:r>
      <w:r/>
    </w:p>
    <w:p>
      <w:pPr>
        <w:pStyle w:val="1104"/>
        <w:rPr>
          <w:rFonts w:ascii="仿宋" w:hAnsi="仿宋" w:eastAsia="仿宋"/>
          <w:color w:val="auto"/>
          <w:highlight w:val="none"/>
        </w:rPr>
      </w:pPr>
      <w:r>
        <w:rPr>
          <w:rFonts w:ascii="仿宋" w:hAnsi="仿宋" w:eastAsia="仿宋"/>
          <w:color w:val="auto"/>
          <w:highlight w:val="none"/>
        </w:rPr>
      </w:r>
      <w:r/>
    </w:p>
    <w:p>
      <w:pPr>
        <w:pStyle w:val="1103"/>
        <w:rPr>
          <w:rFonts w:ascii="仿宋" w:hAnsi="仿宋" w:eastAsia="仿宋"/>
          <w:color w:val="auto"/>
          <w:sz w:val="24"/>
          <w:highlight w:val="none"/>
        </w:rPr>
      </w:pPr>
      <w:r>
        <w:rPr>
          <w:rFonts w:ascii="仿宋" w:hAnsi="仿宋" w:eastAsia="仿宋"/>
          <w:color w:val="auto"/>
          <w:sz w:val="24"/>
          <w:highlight w:val="none"/>
        </w:rPr>
      </w:r>
      <w:r/>
    </w:p>
    <w:p>
      <w:pPr>
        <w:pStyle w:val="1104"/>
        <w:rPr>
          <w:rFonts w:ascii="仿宋" w:hAnsi="仿宋" w:eastAsia="仿宋"/>
          <w:color w:val="auto"/>
          <w:highlight w:val="none"/>
        </w:rPr>
      </w:pPr>
      <w:r>
        <w:rPr>
          <w:rFonts w:ascii="仿宋" w:hAnsi="仿宋" w:eastAsia="仿宋"/>
          <w:color w:val="auto"/>
          <w:highlight w:val="none"/>
        </w:rPr>
      </w:r>
      <w:r/>
    </w:p>
    <w:p>
      <w:pPr>
        <w:pStyle w:val="1103"/>
        <w:rPr>
          <w:color w:val="auto"/>
          <w:highlight w:val="none"/>
        </w:rPr>
      </w:pPr>
      <w:r>
        <w:rPr>
          <w:color w:val="auto"/>
          <w:highlight w:val="none"/>
        </w:rPr>
      </w:r>
      <w:r/>
    </w:p>
    <w:p>
      <w:pPr>
        <w:pStyle w:val="1103"/>
        <w:rPr>
          <w:rFonts w:ascii="仿宋" w:hAnsi="仿宋" w:eastAsia="仿宋"/>
          <w:color w:val="auto"/>
          <w:sz w:val="24"/>
          <w:highlight w:val="none"/>
        </w:rPr>
      </w:pPr>
      <w:r>
        <w:rPr>
          <w:rFonts w:ascii="仿宋" w:hAnsi="仿宋" w:eastAsia="仿宋"/>
          <w:color w:val="auto"/>
          <w:sz w:val="24"/>
          <w:highlight w:val="none"/>
        </w:rPr>
      </w:r>
      <w:r/>
    </w:p>
    <w:p>
      <w:pPr>
        <w:pStyle w:val="1104"/>
        <w:rPr>
          <w:rFonts w:ascii="仿宋" w:hAnsi="仿宋" w:eastAsia="仿宋"/>
          <w:color w:val="auto"/>
          <w:highlight w:val="none"/>
        </w:rPr>
      </w:pPr>
      <w:r>
        <w:rPr>
          <w:rFonts w:ascii="仿宋" w:hAnsi="仿宋" w:eastAsia="仿宋"/>
          <w:color w:val="auto"/>
          <w:highlight w:val="none"/>
        </w:rPr>
      </w:r>
      <w:r/>
    </w:p>
    <w:p>
      <w:pPr>
        <w:pStyle w:val="1103"/>
        <w:rPr>
          <w:color w:val="auto"/>
          <w:highlight w:val="none"/>
        </w:rPr>
      </w:pPr>
      <w:r>
        <w:rPr>
          <w:color w:val="auto"/>
          <w:highlight w:val="none"/>
        </w:rPr>
      </w:r>
      <w:r/>
    </w:p>
    <w:p>
      <w:pPr>
        <w:pStyle w:val="1103"/>
        <w:rPr>
          <w:color w:val="auto"/>
          <w:highlight w:val="none"/>
        </w:rPr>
      </w:pPr>
      <w:r>
        <w:rPr>
          <w:color w:val="auto"/>
          <w:highlight w:val="none"/>
        </w:rPr>
      </w:r>
      <w:r/>
    </w:p>
    <w:p>
      <w:pPr>
        <w:pStyle w:val="1104"/>
        <w:rPr>
          <w:color w:val="auto"/>
          <w:highlight w:val="none"/>
        </w:rPr>
      </w:pPr>
      <w:r>
        <w:rPr>
          <w:color w:val="auto"/>
          <w:highlight w:val="none"/>
        </w:rPr>
      </w:r>
      <w:r/>
    </w:p>
    <w:p>
      <w:pPr>
        <w:pStyle w:val="1104"/>
        <w:rPr>
          <w:color w:val="auto"/>
          <w:highlight w:val="none"/>
        </w:rPr>
      </w:pPr>
      <w:r>
        <w:rPr>
          <w:color w:val="auto"/>
          <w:highlight w:val="none"/>
        </w:rPr>
      </w:r>
      <w:r/>
    </w:p>
    <w:p>
      <w:pPr>
        <w:pStyle w:val="1364"/>
        <w:numPr>
          <w:ilvl w:val="2"/>
          <w:numId w:val="10"/>
        </w:numPr>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（二）商务部分</w:t>
      </w:r>
      <w:r/>
    </w:p>
    <w:p>
      <w:pPr>
        <w:pStyle w:val="1103"/>
        <w:jc w:val="center"/>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供应商同类项目实施情况一览表</w:t>
      </w:r>
      <w:r/>
    </w:p>
    <w:tbl>
      <w:tblPr>
        <w:tblStyle w:val="896"/>
        <w:tblW w:w="90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3402"/>
        <w:gridCol w:w="1559"/>
        <w:gridCol w:w="1418"/>
        <w:gridCol w:w="1843"/>
      </w:tblGrid>
      <w:tr>
        <w:trPr>
          <w:jc w:val="center"/>
          <w:trHeight w:val="680"/>
        </w:trPr>
        <w:tc>
          <w:tcPr>
            <w:tcW w:w="85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序号</w:t>
            </w:r>
            <w:r/>
          </w:p>
        </w:tc>
        <w:tc>
          <w:tcPr>
            <w:tcW w:w="340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项目名称</w:t>
            </w:r>
            <w:r/>
          </w:p>
        </w:tc>
        <w:tc>
          <w:tcPr>
            <w:tcW w:w="1559"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提交时间</w:t>
            </w:r>
            <w:r/>
          </w:p>
        </w:tc>
        <w:tc>
          <w:tcPr>
            <w:tcW w:w="1418"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委托单位</w:t>
            </w:r>
            <w:r/>
          </w:p>
        </w:tc>
        <w:tc>
          <w:tcPr>
            <w:tcW w:w="1843"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备注</w:t>
            </w:r>
            <w:r/>
          </w:p>
        </w:tc>
      </w:tr>
      <w:tr>
        <w:trPr>
          <w:jc w:val="center"/>
          <w:trHeight w:val="680"/>
        </w:trPr>
        <w:tc>
          <w:tcPr>
            <w:tcW w:w="85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1</w:t>
            </w:r>
            <w:r/>
          </w:p>
        </w:tc>
        <w:tc>
          <w:tcPr>
            <w:tcW w:w="340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2</w:t>
            </w:r>
            <w:r/>
          </w:p>
        </w:tc>
        <w:tc>
          <w:tcPr>
            <w:tcW w:w="340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3</w:t>
            </w:r>
            <w:r/>
          </w:p>
        </w:tc>
        <w:tc>
          <w:tcPr>
            <w:tcW w:w="340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4</w:t>
            </w:r>
            <w:r/>
          </w:p>
        </w:tc>
        <w:tc>
          <w:tcPr>
            <w:tcW w:w="340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5</w:t>
            </w:r>
            <w:r/>
          </w:p>
        </w:tc>
        <w:tc>
          <w:tcPr>
            <w:tcW w:w="340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6</w:t>
            </w:r>
            <w:r/>
          </w:p>
        </w:tc>
        <w:tc>
          <w:tcPr>
            <w:tcW w:w="340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w:t>
            </w:r>
            <w:r/>
          </w:p>
        </w:tc>
        <w:tc>
          <w:tcPr>
            <w:tcW w:w="340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340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340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340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备注</w:t>
            </w:r>
            <w:r/>
          </w:p>
        </w:tc>
        <w:tc>
          <w:tcPr>
            <w:gridSpan w:val="4"/>
            <w:tcW w:w="8222" w:type="dxa"/>
            <w:vAlign w:val="center"/>
            <w:textDirection w:val="lrTb"/>
            <w:noWrap/>
          </w:tcPr>
          <w:p>
            <w:pPr>
              <w:pStyle w:val="1103"/>
              <w:jc w:val="left"/>
              <w:rPr>
                <w:rFonts w:ascii="仿宋" w:hAnsi="仿宋" w:eastAsia="仿宋"/>
                <w:color w:val="auto"/>
                <w:sz w:val="24"/>
                <w:highlight w:val="none"/>
              </w:rPr>
            </w:pPr>
            <w:r>
              <w:rPr>
                <w:rFonts w:ascii="仿宋" w:hAnsi="仿宋" w:eastAsia="仿宋"/>
                <w:color w:val="auto"/>
                <w:sz w:val="24"/>
                <w:highlight w:val="none"/>
              </w:rPr>
              <w:t xml:space="preserve">附件材料按招标文件资审条件或评分标准提供、其他认为必须的证明材料。</w:t>
            </w:r>
            <w:r/>
          </w:p>
        </w:tc>
      </w:tr>
    </w:tbl>
    <w:p>
      <w:pPr>
        <w:pStyle w:val="1103"/>
        <w:jc w:val="left"/>
        <w:spacing w:line="460" w:lineRule="exact"/>
        <w:rPr>
          <w:rFonts w:ascii="仿宋" w:hAnsi="仿宋" w:eastAsia="仿宋"/>
          <w:color w:val="auto"/>
          <w:sz w:val="24"/>
          <w:highlight w:val="none"/>
        </w:rPr>
      </w:pPr>
      <w:r>
        <w:rPr>
          <w:rFonts w:ascii="仿宋" w:hAnsi="仿宋" w:eastAsia="仿宋"/>
          <w:color w:val="auto"/>
          <w:sz w:val="24"/>
          <w:highlight w:val="none"/>
        </w:rPr>
      </w:r>
      <w:r/>
    </w:p>
    <w:p>
      <w:pPr>
        <w:pStyle w:val="1103"/>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03"/>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03"/>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03"/>
        <w:rPr>
          <w:rFonts w:ascii="仿宋" w:hAnsi="仿宋" w:eastAsia="仿宋"/>
          <w:color w:val="auto"/>
          <w:sz w:val="24"/>
          <w:highlight w:val="none"/>
        </w:rPr>
      </w:pPr>
      <w:r>
        <w:rPr>
          <w:rFonts w:ascii="仿宋" w:hAnsi="仿宋" w:eastAsia="仿宋"/>
          <w:color w:val="auto"/>
          <w:sz w:val="24"/>
          <w:highlight w:val="none"/>
        </w:rPr>
      </w:r>
      <w:r/>
    </w:p>
    <w:p>
      <w:pPr>
        <w:pStyle w:val="1103"/>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1103"/>
        <w:jc w:val="left"/>
        <w:spacing w:line="4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1104"/>
        <w:rPr>
          <w:color w:val="auto"/>
          <w:highlight w:val="none"/>
        </w:rPr>
      </w:pPr>
      <w:r>
        <w:rPr>
          <w:color w:val="auto"/>
          <w:highlight w:val="none"/>
        </w:rPr>
      </w:r>
      <w:r/>
    </w:p>
    <w:p>
      <w:pPr>
        <w:pStyle w:val="1103"/>
        <w:jc w:val="center"/>
        <w:rPr>
          <w:rFonts w:ascii="Arial" w:hAnsi="Arial" w:eastAsia="仿宋_GB2312"/>
          <w:b/>
          <w:bCs/>
          <w:color w:val="auto"/>
          <w:sz w:val="24"/>
          <w:highlight w:val="none"/>
        </w:rPr>
      </w:pPr>
      <w:r>
        <w:rPr>
          <w:rFonts w:hint="eastAsia" w:ascii="Arial" w:hAnsi="Arial" w:eastAsia="仿宋_GB2312"/>
          <w:b/>
          <w:bCs/>
          <w:color w:val="auto"/>
          <w:sz w:val="24"/>
          <w:highlight w:val="none"/>
        </w:rPr>
        <w:t xml:space="preserve">2、供应商其他证明文件及材料（要求见磋商文件第十二章《评标办法》）</w:t>
      </w:r>
      <w:r/>
    </w:p>
    <w:p>
      <w:pPr>
        <w:pStyle w:val="1104"/>
        <w:rPr>
          <w:color w:val="auto"/>
          <w:highlight w:val="none"/>
        </w:rPr>
      </w:pPr>
      <w:r>
        <w:rPr>
          <w:color w:val="auto"/>
          <w:highlight w:val="none"/>
        </w:rPr>
      </w:r>
      <w:r/>
    </w:p>
    <w:p>
      <w:pPr>
        <w:pStyle w:val="1364"/>
        <w:ind w:firstLine="632"/>
        <w:jc w:val="center"/>
        <w:rPr>
          <w:rFonts w:ascii="Arial" w:hAnsi="Arial" w:eastAsia="仿宋_GB2312"/>
          <w:bCs w:val="0"/>
          <w:color w:val="auto"/>
          <w:sz w:val="28"/>
          <w:szCs w:val="28"/>
          <w:highlight w:val="none"/>
        </w:rPr>
      </w:pPr>
      <w:r/>
      <w:bookmarkStart w:id="164" w:name="_Toc302967420"/>
      <w:r>
        <w:rPr>
          <w:rFonts w:hint="eastAsia" w:ascii="Arial" w:hAnsi="Arial" w:eastAsia="仿宋_GB2312"/>
          <w:bCs w:val="0"/>
          <w:color w:val="auto"/>
          <w:sz w:val="28"/>
          <w:szCs w:val="28"/>
          <w:highlight w:val="none"/>
        </w:rPr>
        <w:t xml:space="preserve">（三）技术部分</w:t>
      </w:r>
      <w:r/>
    </w:p>
    <w:p>
      <w:pPr>
        <w:pStyle w:val="1364"/>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1</w:t>
      </w:r>
      <w:r>
        <w:rPr>
          <w:rFonts w:ascii="Arial" w:hAnsi="Arial" w:eastAsia="仿宋_GB2312"/>
          <w:bCs w:val="0"/>
          <w:color w:val="auto"/>
          <w:sz w:val="28"/>
          <w:szCs w:val="28"/>
          <w:highlight w:val="none"/>
        </w:rPr>
        <w:t xml:space="preserve">、</w:t>
      </w:r>
      <w:bookmarkEnd w:id="164"/>
      <w:r>
        <w:rPr>
          <w:rFonts w:hint="eastAsia" w:ascii="Arial" w:hAnsi="Arial" w:eastAsia="仿宋_GB2312"/>
          <w:bCs w:val="0"/>
          <w:color w:val="auto"/>
          <w:sz w:val="28"/>
          <w:szCs w:val="28"/>
          <w:highlight w:val="none"/>
        </w:rPr>
        <w:t xml:space="preserve">响应服务清单</w:t>
      </w:r>
      <w:r>
        <w:rPr>
          <w:rFonts w:ascii="Arial" w:hAnsi="Arial" w:eastAsia="仿宋_GB2312"/>
          <w:bCs w:val="0"/>
          <w:color w:val="auto"/>
          <w:sz w:val="28"/>
          <w:szCs w:val="28"/>
          <w:highlight w:val="none"/>
        </w:rPr>
        <w:t xml:space="preserve">（若有）</w:t>
      </w:r>
      <w:r/>
    </w:p>
    <w:p>
      <w:pPr>
        <w:pStyle w:val="1365"/>
        <w:rPr>
          <w:rFonts w:ascii="仿宋" w:hAnsi="仿宋" w:eastAsia="仿宋"/>
          <w:color w:val="auto"/>
          <w:sz w:val="24"/>
          <w:szCs w:val="24"/>
          <w:highlight w:val="none"/>
          <w:u w:val="single"/>
        </w:rPr>
      </w:pPr>
      <w:r>
        <w:rPr>
          <w:rFonts w:ascii="仿宋" w:hAnsi="仿宋" w:eastAsia="仿宋"/>
          <w:color w:val="auto"/>
          <w:sz w:val="24"/>
          <w:szCs w:val="24"/>
          <w:highlight w:val="none"/>
        </w:rPr>
        <w:t xml:space="preserve">项目编号：</w:t>
      </w:r>
      <w:r/>
    </w:p>
    <w:tbl>
      <w:tblPr>
        <w:tblStyle w:val="896"/>
        <w:tblW w:w="92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40"/>
        <w:gridCol w:w="7054"/>
      </w:tblGrid>
      <w:tr>
        <w:trPr>
          <w:trHeight w:val="480"/>
        </w:trPr>
        <w:tc>
          <w:tcPr>
            <w:tcW w:w="720" w:type="dxa"/>
            <w:vAlign w:val="center"/>
            <w:textDirection w:val="lrTb"/>
            <w:noWrap/>
          </w:tcPr>
          <w:p>
            <w:pPr>
              <w:pStyle w:val="1103"/>
              <w:jc w:val="center"/>
              <w:spacing w:before="50" w:after="50"/>
              <w:rPr>
                <w:rFonts w:ascii="仿宋" w:hAnsi="仿宋" w:eastAsia="仿宋"/>
                <w:color w:val="auto"/>
                <w:sz w:val="24"/>
                <w:highlight w:val="none"/>
              </w:rPr>
            </w:pPr>
            <w:r>
              <w:rPr>
                <w:rFonts w:ascii="仿宋" w:hAnsi="仿宋" w:eastAsia="仿宋"/>
                <w:color w:val="auto"/>
                <w:sz w:val="24"/>
                <w:highlight w:val="none"/>
              </w:rPr>
              <w:t xml:space="preserve">序号</w:t>
            </w:r>
            <w:r/>
          </w:p>
        </w:tc>
        <w:tc>
          <w:tcPr>
            <w:tcW w:w="1440" w:type="dxa"/>
            <w:vAlign w:val="center"/>
            <w:textDirection w:val="lrTb"/>
            <w:noWrap/>
          </w:tcPr>
          <w:p>
            <w:pPr>
              <w:pStyle w:val="1103"/>
              <w:jc w:val="center"/>
              <w:spacing w:before="50" w:after="50"/>
              <w:rPr>
                <w:rFonts w:ascii="仿宋" w:hAnsi="仿宋" w:eastAsia="仿宋"/>
                <w:color w:val="auto"/>
                <w:sz w:val="24"/>
                <w:highlight w:val="none"/>
              </w:rPr>
            </w:pPr>
            <w:r>
              <w:rPr>
                <w:rFonts w:ascii="仿宋" w:hAnsi="仿宋" w:eastAsia="仿宋"/>
                <w:color w:val="auto"/>
                <w:sz w:val="24"/>
                <w:highlight w:val="none"/>
              </w:rPr>
              <w:t xml:space="preserve">服务名称</w:t>
            </w:r>
            <w:r/>
          </w:p>
        </w:tc>
        <w:tc>
          <w:tcPr>
            <w:tcW w:w="7054" w:type="dxa"/>
            <w:vAlign w:val="center"/>
            <w:textDirection w:val="lrTb"/>
            <w:noWrap/>
          </w:tcPr>
          <w:p>
            <w:pPr>
              <w:pStyle w:val="1103"/>
              <w:jc w:val="center"/>
              <w:spacing w:before="50" w:after="50"/>
              <w:rPr>
                <w:rFonts w:ascii="仿宋" w:hAnsi="仿宋" w:eastAsia="仿宋"/>
                <w:color w:val="auto"/>
                <w:sz w:val="24"/>
                <w:highlight w:val="none"/>
              </w:rPr>
            </w:pPr>
            <w:r>
              <w:rPr>
                <w:rFonts w:ascii="仿宋" w:hAnsi="仿宋" w:eastAsia="仿宋"/>
                <w:color w:val="auto"/>
                <w:sz w:val="24"/>
                <w:highlight w:val="none"/>
              </w:rPr>
              <w:t xml:space="preserve">技术指标</w:t>
            </w:r>
            <w:r/>
          </w:p>
        </w:tc>
      </w:tr>
      <w:tr>
        <w:trPr>
          <w:trHeight w:val="930"/>
        </w:trPr>
        <w:tc>
          <w:tcPr>
            <w:tcW w:w="720"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1</w:t>
            </w:r>
            <w:r/>
          </w:p>
        </w:tc>
        <w:tc>
          <w:tcPr>
            <w:tcW w:w="1440"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756"/>
        </w:trPr>
        <w:tc>
          <w:tcPr>
            <w:tcW w:w="720"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2</w:t>
            </w:r>
            <w:r/>
          </w:p>
        </w:tc>
        <w:tc>
          <w:tcPr>
            <w:tcW w:w="1440"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3</w:t>
            </w:r>
            <w:r/>
          </w:p>
        </w:tc>
        <w:tc>
          <w:tcPr>
            <w:tcW w:w="1440"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4</w:t>
            </w:r>
            <w:r/>
          </w:p>
        </w:tc>
        <w:tc>
          <w:tcPr>
            <w:tcW w:w="1440"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5</w:t>
            </w:r>
            <w:r/>
          </w:p>
        </w:tc>
        <w:tc>
          <w:tcPr>
            <w:tcW w:w="1440"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6</w:t>
            </w:r>
            <w:r/>
          </w:p>
        </w:tc>
        <w:tc>
          <w:tcPr>
            <w:tcW w:w="1440"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7</w:t>
            </w:r>
            <w:r/>
          </w:p>
        </w:tc>
        <w:tc>
          <w:tcPr>
            <w:tcW w:w="1440"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8</w:t>
            </w:r>
            <w:r/>
          </w:p>
        </w:tc>
        <w:tc>
          <w:tcPr>
            <w:tcW w:w="1440"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9</w:t>
            </w:r>
            <w:r/>
          </w:p>
        </w:tc>
        <w:tc>
          <w:tcPr>
            <w:tcW w:w="1440"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lang w:val="zh-CN"/>
              </w:rPr>
              <w:t xml:space="preserve">……</w:t>
            </w:r>
            <w:r/>
          </w:p>
        </w:tc>
        <w:tc>
          <w:tcPr>
            <w:tcW w:w="7054"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bl>
    <w:p>
      <w:pPr>
        <w:pStyle w:val="1103"/>
        <w:spacing w:before="120"/>
        <w:rPr>
          <w:rFonts w:ascii="仿宋" w:hAnsi="仿宋" w:eastAsia="仿宋"/>
          <w:color w:val="auto"/>
          <w:sz w:val="24"/>
          <w:highlight w:val="none"/>
        </w:rPr>
      </w:pPr>
      <w:r>
        <w:rPr>
          <w:rFonts w:ascii="仿宋" w:hAnsi="仿宋" w:eastAsia="仿宋"/>
          <w:color w:val="auto"/>
          <w:sz w:val="24"/>
          <w:highlight w:val="none"/>
        </w:rPr>
        <w:t xml:space="preserve">注：1、可对服务进行详细描述</w:t>
      </w:r>
      <w:r/>
    </w:p>
    <w:p>
      <w:pPr>
        <w:pStyle w:val="1103"/>
        <w:ind w:firstLine="480"/>
        <w:spacing w:before="120"/>
        <w:rPr>
          <w:rFonts w:ascii="仿宋" w:hAnsi="仿宋" w:eastAsia="仿宋"/>
          <w:color w:val="auto"/>
          <w:sz w:val="24"/>
          <w:highlight w:val="none"/>
        </w:rPr>
      </w:pPr>
      <w:r>
        <w:rPr>
          <w:rFonts w:ascii="仿宋" w:hAnsi="仿宋" w:eastAsia="仿宋"/>
          <w:color w:val="auto"/>
          <w:sz w:val="24"/>
          <w:highlight w:val="none"/>
        </w:rPr>
        <w:t xml:space="preserve">2、本表可不按此表填写，由供应商另行制订填写。</w:t>
      </w:r>
      <w:r/>
    </w:p>
    <w:p>
      <w:pPr>
        <w:pStyle w:val="1103"/>
        <w:spacing w:before="120"/>
        <w:rPr>
          <w:rFonts w:ascii="仿宋" w:hAnsi="仿宋" w:eastAsia="仿宋"/>
          <w:color w:val="auto"/>
          <w:sz w:val="24"/>
          <w:highlight w:val="none"/>
        </w:rPr>
      </w:pPr>
      <w:r>
        <w:rPr>
          <w:rFonts w:ascii="仿宋" w:hAnsi="仿宋" w:eastAsia="仿宋"/>
          <w:color w:val="auto"/>
          <w:sz w:val="24"/>
          <w:highlight w:val="none"/>
        </w:rPr>
      </w:r>
      <w:r/>
    </w:p>
    <w:p>
      <w:pPr>
        <w:pStyle w:val="1103"/>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03"/>
        <w:spacing w:before="120"/>
        <w:rPr>
          <w:rFonts w:ascii="仿宋" w:hAnsi="仿宋" w:eastAsia="仿宋"/>
          <w:color w:val="auto"/>
          <w:sz w:val="24"/>
          <w:highlight w:val="none"/>
        </w:rPr>
      </w:pPr>
      <w:r>
        <w:rPr>
          <w:rFonts w:ascii="仿宋" w:hAnsi="仿宋" w:eastAsia="仿宋"/>
          <w:color w:val="auto"/>
          <w:sz w:val="24"/>
          <w:highlight w:val="none"/>
        </w:rPr>
      </w:r>
      <w:r/>
    </w:p>
    <w:p>
      <w:pPr>
        <w:pStyle w:val="1103"/>
        <w:spacing w:before="120"/>
        <w:rPr>
          <w:rFonts w:ascii="仿宋" w:hAnsi="仿宋" w:eastAsia="仿宋"/>
          <w:color w:val="auto"/>
          <w:sz w:val="24"/>
          <w:highlight w:val="none"/>
        </w:rPr>
      </w:pPr>
      <w:r>
        <w:rPr>
          <w:rFonts w:hint="eastAsia" w:ascii="仿宋" w:hAnsi="仿宋" w:eastAsia="仿宋"/>
          <w:color w:val="auto"/>
          <w:sz w:val="24"/>
          <w:highlight w:val="none"/>
        </w:rPr>
        <w:t xml:space="preserve">法定代表人或</w:t>
      </w:r>
      <w:r>
        <w:rPr>
          <w:rFonts w:ascii="仿宋" w:hAnsi="仿宋" w:eastAsia="仿宋"/>
          <w:color w:val="auto"/>
          <w:sz w:val="24"/>
          <w:highlight w:val="none"/>
        </w:rPr>
        <w:t xml:space="preserve">被授权代表</w:t>
      </w:r>
      <w:r>
        <w:rPr>
          <w:rFonts w:hint="eastAsia" w:ascii="仿宋" w:hAnsi="仿宋" w:eastAsia="仿宋"/>
          <w:color w:val="auto"/>
          <w:sz w:val="24"/>
          <w:highlight w:val="none"/>
        </w:rPr>
        <w:t xml:space="preserve">（电子签章或签字）</w:t>
      </w:r>
      <w:r>
        <w:rPr>
          <w:rFonts w:ascii="仿宋" w:hAnsi="仿宋" w:eastAsia="仿宋"/>
          <w:color w:val="auto"/>
          <w:sz w:val="24"/>
          <w:highlight w:val="none"/>
        </w:rPr>
        <w:t xml:space="preserve">：               </w:t>
      </w:r>
      <w:r/>
    </w:p>
    <w:p>
      <w:pPr>
        <w:pStyle w:val="1103"/>
        <w:spacing w:before="120"/>
        <w:rPr>
          <w:rFonts w:ascii="仿宋" w:hAnsi="仿宋" w:eastAsia="仿宋"/>
          <w:color w:val="auto"/>
          <w:sz w:val="24"/>
          <w:highlight w:val="none"/>
        </w:rPr>
      </w:pPr>
      <w:r>
        <w:rPr>
          <w:rFonts w:ascii="仿宋" w:hAnsi="仿宋" w:eastAsia="仿宋"/>
          <w:color w:val="auto"/>
          <w:sz w:val="24"/>
          <w:highlight w:val="none"/>
        </w:rPr>
      </w:r>
      <w:r/>
    </w:p>
    <w:p>
      <w:pPr>
        <w:pStyle w:val="1103"/>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1103"/>
        <w:jc w:val="center"/>
        <w:spacing w:line="600" w:lineRule="auto"/>
        <w:rPr>
          <w:rFonts w:ascii="Arial" w:hAnsi="Arial" w:eastAsia="仿宋_GB2312"/>
          <w:color w:val="auto"/>
          <w:szCs w:val="21"/>
          <w:highlight w:val="none"/>
        </w:rPr>
        <w:sectPr>
          <w:headerReference w:type="default" r:id="rId16"/>
          <w:footerReference w:type="default" r:id="rId26"/>
          <w:footnotePr/>
          <w:endnotePr/>
          <w:type w:val="nextPage"/>
          <w:pgSz w:w="11905" w:h="16838" w:orient="portrait"/>
          <w:pgMar w:top="1213" w:right="1417" w:bottom="1400" w:left="1417" w:header="850" w:footer="992" w:gutter="0"/>
          <w:cols w:num="1" w:sep="0" w:space="0" w:equalWidth="1"/>
          <w:docGrid w:linePitch="360"/>
          <w:titlePg/>
        </w:sectPr>
      </w:pPr>
      <w:r>
        <w:rPr>
          <w:rFonts w:ascii="Arial" w:hAnsi="Arial" w:eastAsia="仿宋_GB2312"/>
          <w:color w:val="auto"/>
          <w:szCs w:val="21"/>
          <w:highlight w:val="none"/>
        </w:rPr>
      </w:r>
      <w:r/>
    </w:p>
    <w:p>
      <w:pPr>
        <w:pStyle w:val="1364"/>
        <w:ind w:firstLine="632"/>
        <w:jc w:val="center"/>
        <w:rPr>
          <w:rFonts w:ascii="Arial" w:hAnsi="Arial" w:eastAsia="仿宋_GB2312"/>
          <w:bCs w:val="0"/>
          <w:color w:val="auto"/>
          <w:sz w:val="28"/>
          <w:szCs w:val="28"/>
          <w:highlight w:val="none"/>
        </w:rPr>
      </w:pPr>
      <w:r>
        <w:rPr>
          <w:rFonts w:hint="eastAsia" w:ascii="Arial" w:hAnsi="Arial" w:eastAsia="仿宋_GB2312"/>
          <w:color w:val="auto"/>
          <w:highlight w:val="none"/>
        </w:rPr>
        <w:t xml:space="preserve">2、</w:t>
      </w:r>
      <w:r>
        <w:rPr>
          <w:rFonts w:ascii="Arial" w:hAnsi="Arial" w:eastAsia="仿宋_GB2312"/>
          <w:bCs w:val="0"/>
          <w:color w:val="auto"/>
          <w:sz w:val="28"/>
          <w:szCs w:val="28"/>
          <w:highlight w:val="none"/>
        </w:rPr>
        <w:t xml:space="preserve">项目实施人员（主要从业人员及其技术资格）一览表（如有）</w:t>
      </w:r>
      <w:r/>
    </w:p>
    <w:p>
      <w:pPr>
        <w:pStyle w:val="1365"/>
        <w:rPr>
          <w:rFonts w:ascii="仿宋" w:hAnsi="仿宋" w:eastAsia="仿宋"/>
          <w:color w:val="auto"/>
          <w:sz w:val="24"/>
          <w:szCs w:val="24"/>
          <w:highlight w:val="none"/>
          <w:u w:val="single"/>
        </w:rPr>
      </w:pPr>
      <w:r>
        <w:rPr>
          <w:rFonts w:hint="eastAsia" w:ascii="仿宋" w:hAnsi="仿宋" w:eastAsia="仿宋"/>
          <w:color w:val="auto"/>
          <w:sz w:val="24"/>
          <w:szCs w:val="24"/>
          <w:highlight w:val="none"/>
          <w:lang w:eastAsia="zh-CN"/>
        </w:rPr>
        <w:t xml:space="preserve">项目</w:t>
      </w:r>
      <w:r>
        <w:rPr>
          <w:rFonts w:ascii="仿宋" w:hAnsi="仿宋" w:eastAsia="仿宋"/>
          <w:color w:val="auto"/>
          <w:sz w:val="24"/>
          <w:szCs w:val="24"/>
          <w:highlight w:val="none"/>
        </w:rPr>
        <w:t xml:space="preserve">编号：</w:t>
      </w:r>
      <w:r/>
    </w:p>
    <w:tbl>
      <w:tblPr>
        <w:tblStyle w:val="896"/>
        <w:tblW w:w="893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993"/>
        <w:gridCol w:w="1417"/>
        <w:gridCol w:w="1417"/>
        <w:gridCol w:w="1135"/>
        <w:gridCol w:w="1984"/>
        <w:gridCol w:w="1276"/>
      </w:tblGrid>
      <w:tr>
        <w:trPr>
          <w:trHeight w:val="454"/>
        </w:trPr>
        <w:tc>
          <w:tcPr>
            <w:tcW w:w="709"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序号</w:t>
            </w:r>
            <w:r/>
          </w:p>
        </w:tc>
        <w:tc>
          <w:tcPr>
            <w:tcW w:w="993"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姓名</w:t>
            </w:r>
            <w:r/>
          </w:p>
        </w:tc>
        <w:tc>
          <w:tcPr>
            <w:tcW w:w="1417"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职称</w:t>
            </w:r>
            <w:r/>
          </w:p>
        </w:tc>
        <w:tc>
          <w:tcPr>
            <w:tcW w:w="1417"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专业证书及方向</w:t>
            </w:r>
            <w:r/>
          </w:p>
        </w:tc>
        <w:tc>
          <w:tcPr>
            <w:tcW w:w="1135"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证书编号</w:t>
            </w:r>
            <w:r/>
          </w:p>
        </w:tc>
        <w:tc>
          <w:tcPr>
            <w:tcW w:w="1984"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本项目中拟任职</w:t>
            </w:r>
            <w:r/>
          </w:p>
        </w:tc>
        <w:tc>
          <w:tcPr>
            <w:tcW w:w="1276"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其他</w:t>
            </w:r>
            <w:r/>
          </w:p>
        </w:tc>
      </w:tr>
      <w:tr>
        <w:trPr>
          <w:trHeight w:val="454"/>
        </w:trPr>
        <w:tc>
          <w:tcPr>
            <w:tcW w:w="709"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1</w:t>
            </w:r>
            <w:r/>
          </w:p>
        </w:tc>
        <w:tc>
          <w:tcPr>
            <w:tcW w:w="993"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2</w:t>
            </w:r>
            <w:r/>
          </w:p>
        </w:tc>
        <w:tc>
          <w:tcPr>
            <w:tcW w:w="993"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3</w:t>
            </w:r>
            <w:r/>
          </w:p>
        </w:tc>
        <w:tc>
          <w:tcPr>
            <w:tcW w:w="993"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4</w:t>
            </w:r>
            <w:r/>
          </w:p>
        </w:tc>
        <w:tc>
          <w:tcPr>
            <w:tcW w:w="993"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5</w:t>
            </w:r>
            <w:r/>
          </w:p>
        </w:tc>
        <w:tc>
          <w:tcPr>
            <w:tcW w:w="993"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6</w:t>
            </w:r>
            <w:r/>
          </w:p>
        </w:tc>
        <w:tc>
          <w:tcPr>
            <w:tcW w:w="993"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7</w:t>
            </w:r>
            <w:r/>
          </w:p>
        </w:tc>
        <w:tc>
          <w:tcPr>
            <w:tcW w:w="993"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8</w:t>
            </w:r>
            <w:r/>
          </w:p>
        </w:tc>
        <w:tc>
          <w:tcPr>
            <w:tcW w:w="993"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9</w:t>
            </w:r>
            <w:r/>
          </w:p>
        </w:tc>
        <w:tc>
          <w:tcPr>
            <w:tcW w:w="993"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10</w:t>
            </w:r>
            <w:r/>
          </w:p>
        </w:tc>
        <w:tc>
          <w:tcPr>
            <w:tcW w:w="993"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993"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993"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bl>
    <w:p>
      <w:pPr>
        <w:pStyle w:val="1103"/>
        <w:spacing w:before="50" w:after="50"/>
        <w:rPr>
          <w:rFonts w:ascii="仿宋" w:hAnsi="仿宋" w:eastAsia="仿宋"/>
          <w:color w:val="auto"/>
          <w:sz w:val="24"/>
          <w:highlight w:val="none"/>
        </w:rPr>
      </w:pPr>
      <w:r>
        <w:rPr>
          <w:rFonts w:ascii="仿宋" w:hAnsi="仿宋" w:eastAsia="仿宋"/>
          <w:color w:val="auto"/>
          <w:sz w:val="24"/>
          <w:highlight w:val="none"/>
        </w:rPr>
      </w:r>
      <w:r/>
    </w:p>
    <w:p>
      <w:pPr>
        <w:pStyle w:val="1103"/>
        <w:spacing w:before="50" w:after="5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03"/>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103"/>
        <w:spacing w:before="50" w:after="50" w:line="460" w:lineRule="exact"/>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w:t>
      </w:r>
      <w:r>
        <w:rPr>
          <w:rFonts w:ascii="仿宋" w:hAnsi="仿宋" w:eastAsia="仿宋"/>
          <w:color w:val="auto"/>
          <w:spacing w:val="20"/>
          <w:sz w:val="24"/>
          <w:highlight w:val="none"/>
        </w:rPr>
        <w:t xml:space="preserve">授权代表</w:t>
      </w:r>
      <w:r>
        <w:rPr>
          <w:rFonts w:hint="eastAsia" w:ascii="仿宋" w:hAnsi="仿宋" w:eastAsia="仿宋"/>
          <w:color w:val="auto"/>
          <w:spacing w:val="20"/>
          <w:sz w:val="24"/>
          <w:highlight w:val="none"/>
        </w:rPr>
        <w:t xml:space="preserve">（电子签章或签字）</w:t>
      </w:r>
      <w:r>
        <w:rPr>
          <w:rFonts w:ascii="仿宋" w:hAnsi="仿宋" w:eastAsia="仿宋"/>
          <w:color w:val="auto"/>
          <w:spacing w:val="20"/>
          <w:sz w:val="24"/>
          <w:highlight w:val="none"/>
        </w:rPr>
        <w:t xml:space="preserve">：</w:t>
      </w:r>
      <w:r/>
    </w:p>
    <w:p>
      <w:pPr>
        <w:pStyle w:val="1103"/>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103"/>
        <w:spacing w:before="50" w:after="50" w:line="460" w:lineRule="exact"/>
        <w:rPr>
          <w:rFonts w:ascii="仿宋" w:hAnsi="仿宋" w:eastAsia="仿宋"/>
          <w:color w:val="auto"/>
          <w:spacing w:val="20"/>
          <w:sz w:val="24"/>
          <w:highlight w:val="none"/>
          <w:u w:val="single"/>
        </w:rPr>
      </w:pPr>
      <w:r>
        <w:rPr>
          <w:rFonts w:ascii="仿宋" w:hAnsi="仿宋" w:eastAsia="仿宋"/>
          <w:color w:val="auto"/>
          <w:spacing w:val="20"/>
          <w:sz w:val="24"/>
          <w:highlight w:val="none"/>
        </w:rPr>
        <w:t xml:space="preserve">日  期：</w:t>
      </w:r>
      <w:r/>
    </w:p>
    <w:p>
      <w:pPr>
        <w:pStyle w:val="1103"/>
        <w:spacing w:before="50" w:after="50" w:line="460" w:lineRule="exact"/>
        <w:rPr>
          <w:rFonts w:ascii="Arial" w:hAnsi="Arial" w:eastAsia="仿宋_GB2312"/>
          <w:color w:val="auto"/>
          <w:highlight w:val="none"/>
        </w:rPr>
      </w:pPr>
      <w:r>
        <w:rPr>
          <w:rFonts w:ascii="Arial" w:hAnsi="Arial" w:eastAsia="仿宋_GB2312"/>
          <w:color w:val="auto"/>
          <w:highlight w:val="none"/>
        </w:rPr>
      </w:r>
      <w:r/>
    </w:p>
    <w:p>
      <w:pPr>
        <w:pStyle w:val="1103"/>
        <w:jc w:val="center"/>
        <w:spacing w:before="50" w:after="50" w:line="460" w:lineRule="exact"/>
        <w:rPr>
          <w:rFonts w:ascii="Arial" w:hAnsi="Arial" w:eastAsia="仿宋_GB2312"/>
          <w:b/>
          <w:bCs/>
          <w:color w:val="auto"/>
          <w:sz w:val="30"/>
          <w:szCs w:val="32"/>
          <w:highlight w:val="none"/>
        </w:rPr>
      </w:pPr>
      <w:r>
        <w:rPr>
          <w:rFonts w:hint="eastAsia" w:ascii="Arial" w:hAnsi="Arial" w:eastAsia="仿宋_GB2312"/>
          <w:b/>
          <w:bCs/>
          <w:color w:val="auto"/>
          <w:sz w:val="30"/>
          <w:szCs w:val="32"/>
          <w:highlight w:val="none"/>
        </w:rPr>
        <w:t xml:space="preserve">3、项目实施方案（要求见招标文件第十二章《评标办法》）</w:t>
      </w:r>
      <w:r/>
    </w:p>
    <w:p>
      <w:pPr>
        <w:jc w:val="center"/>
        <w:rPr>
          <w:rFonts w:ascii="Arial" w:hAnsi="Arial" w:eastAsia="仿宋_GB2312"/>
          <w:b/>
          <w:bCs/>
          <w:color w:val="auto"/>
          <w:sz w:val="30"/>
          <w:szCs w:val="32"/>
          <w:highlight w:val="none"/>
        </w:rPr>
      </w:pPr>
      <w:r>
        <w:rPr>
          <w:rFonts w:ascii="Arial" w:hAnsi="Arial" w:eastAsia="仿宋_GB2312"/>
          <w:b/>
          <w:bCs/>
          <w:color w:val="auto"/>
          <w:sz w:val="30"/>
          <w:szCs w:val="32"/>
          <w:highlight w:val="none"/>
        </w:rPr>
      </w:r>
      <w:r/>
    </w:p>
    <w:p>
      <w:pPr>
        <w:jc w:val="center"/>
        <w:rPr>
          <w:rFonts w:ascii="Arial" w:hAnsi="Arial" w:eastAsia="仿宋_GB2312"/>
          <w:b/>
          <w:bCs/>
          <w:color w:val="auto"/>
          <w:sz w:val="30"/>
          <w:szCs w:val="32"/>
          <w:highlight w:val="none"/>
        </w:rPr>
      </w:pPr>
      <w:r>
        <w:rPr>
          <w:rFonts w:hint="eastAsia" w:ascii="Arial" w:hAnsi="Arial" w:eastAsia="仿宋_GB2312"/>
          <w:b/>
          <w:bCs/>
          <w:color w:val="auto"/>
          <w:sz w:val="30"/>
          <w:szCs w:val="32"/>
          <w:highlight w:val="none"/>
        </w:rPr>
        <w:t xml:space="preserve">4、供应商认为需提供的其他资料（如有）（要求见磋商文件第十二章《评标办法》）</w:t>
      </w:r>
      <w:r/>
    </w:p>
    <w:sectPr>
      <w:headerReference w:type="default" r:id="rId17"/>
      <w:footerReference w:type="default" r:id="rId27"/>
      <w:footnotePr/>
      <w:endnotePr/>
      <w:type w:val="nextPage"/>
      <w:pgSz w:w="11905" w:h="16838" w:orient="portrait"/>
      <w:pgMar w:top="1213" w:right="1417" w:bottom="1400" w:left="1417"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楷体">
    <w:panose1 w:val="02010609060101010101"/>
  </w:font>
  <w:font w:name="Symbol">
    <w:panose1 w:val="05050102010706020507"/>
  </w:font>
  <w:font w:name="Wingdings">
    <w:panose1 w:val="05000000000000000000"/>
  </w:font>
  <w:font w:name="Century Schoolbook">
    <w:panose1 w:val="02040604050505020304"/>
  </w:font>
  <w:font w:name="楷体_GB2312">
    <w:panose1 w:val="02010609060101010101"/>
  </w:font>
  <w:font w:name="仿宋">
    <w:panose1 w:val="02010609060101010101"/>
  </w:font>
  <w:font w:name="MS Mincho">
    <w:panose1 w:val="02020603050405090304"/>
  </w:font>
  <w:font w:name="Tahoma">
    <w:panose1 w:val="020B0604030504040204"/>
  </w:font>
  <w:font w:name="Cambria Math">
    <w:panose1 w:val="02040503050406030204"/>
  </w:font>
  <w:font w:name="MingLiU">
    <w:panose1 w:val="02020500000000000000"/>
  </w:font>
  <w:font w:name="Cambria">
    <w:panose1 w:val="02040503050406030204"/>
  </w:font>
  <w:font w:name="仿宋_GB2312">
    <w:panose1 w:val="02010609060101010101"/>
  </w:font>
  <w:font w:name="Verdana">
    <w:panose1 w:val="020B0604030504040204"/>
  </w:font>
  <w:font w:name="黑体">
    <w:panose1 w:val="02010609060101010101"/>
  </w:font>
  <w:font w:name="微软简标宋">
    <w:panose1 w:val="020B0503020202020204"/>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jc w:val="center"/>
    </w:pPr>
    <w:r>
      <w:rPr>
        <w:rStyle w:val="1185"/>
      </w:rPr>
      <w:fldChar w:fldCharType="begin"/>
    </w:r>
    <w:r>
      <w:rPr>
        <w:rStyle w:val="1185"/>
      </w:rPr>
      <w:instrText xml:space="preserve"> PAGE </w:instrText>
    </w:r>
    <w:r>
      <w:rPr>
        <w:rStyle w:val="1185"/>
      </w:rPr>
      <w:fldChar w:fldCharType="separate"/>
    </w:r>
    <w:r>
      <w:rPr>
        <w:rStyle w:val="1185"/>
      </w:rPr>
      <w:t xml:space="preserve">7</w:t>
    </w:r>
    <w:r>
      <w:rPr>
        <w:rStyle w:val="1185"/>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8"/>
      <w:jc w:val="center"/>
    </w:pPr>
    <w:r>
      <w:rPr>
        <w:rStyle w:val="1243"/>
      </w:rPr>
      <w:fldChar w:fldCharType="begin"/>
    </w:r>
    <w:r>
      <w:rPr>
        <w:rStyle w:val="1243"/>
      </w:rPr>
      <w:instrText xml:space="preserve"> PAGE </w:instrText>
    </w:r>
    <w:r>
      <w:rPr>
        <w:rStyle w:val="1243"/>
      </w:rPr>
      <w:fldChar w:fldCharType="separate"/>
    </w:r>
    <w:r>
      <w:rPr>
        <w:rStyle w:val="1243"/>
      </w:rPr>
      <w:t xml:space="preserve">53</w:t>
    </w:r>
    <w:r>
      <w:rPr>
        <w:rStyle w:val="1243"/>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8"/>
      <w:rPr>
        <w:rStyle w:val="1243"/>
      </w:rPr>
      <w:framePr w:wrap="around" w:vAnchor="text" w:hAnchor="margin" w:xAlign="right" w:y="1"/>
    </w:pPr>
    <w:r>
      <w:rPr>
        <w:rStyle w:val="1243"/>
      </w:rPr>
      <w:fldChar w:fldCharType="begin"/>
    </w:r>
    <w:r>
      <w:rPr>
        <w:rStyle w:val="1243"/>
      </w:rPr>
      <w:instrText xml:space="preserve">PAGE  </w:instrText>
    </w:r>
    <w:r>
      <w:rPr>
        <w:rStyle w:val="1243"/>
      </w:rPr>
      <w:fldChar w:fldCharType="separate"/>
    </w:r>
    <w:r>
      <w:rPr>
        <w:rStyle w:val="1243"/>
      </w:rPr>
      <w:t xml:space="preserve">13</w:t>
    </w:r>
    <w:r>
      <w:rPr>
        <w:rStyle w:val="1243"/>
      </w:rPr>
      <w:fldChar w:fldCharType="end"/>
    </w:r>
    <w:r/>
  </w:p>
  <w:p>
    <w:pPr>
      <w:pStyle w:val="1368"/>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jc w:val="center"/>
    </w:pPr>
    <w:r>
      <w:fldChar w:fldCharType="begin"/>
    </w:r>
    <w:r>
      <w:rPr>
        <w:rStyle w:val="1185"/>
      </w:rPr>
      <w:instrText xml:space="preserve"> PAGE </w:instrText>
    </w:r>
    <w:r>
      <w:fldChar w:fldCharType="separate"/>
    </w:r>
    <w:r>
      <w:rPr>
        <w:rStyle w:val="1185"/>
      </w:rPr>
      <w:t xml:space="preserve">55</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rPr>
        <w:rStyle w:val="1185"/>
      </w:rPr>
      <w:framePr w:wrap="around" w:vAnchor="text" w:hAnchor="margin" w:xAlign="right" w:y="1"/>
    </w:pPr>
    <w:r>
      <w:fldChar w:fldCharType="begin"/>
    </w:r>
    <w:r>
      <w:rPr>
        <w:rStyle w:val="1185"/>
      </w:rPr>
      <w:instrText xml:space="preserve">PAGE  </w:instrText>
    </w:r>
    <w:r>
      <w:fldChar w:fldCharType="separate"/>
    </w:r>
    <w:r>
      <w:rPr>
        <w:rStyle w:val="1185"/>
      </w:rPr>
      <w:t xml:space="preserve">13</w:t>
    </w:r>
    <w:r>
      <w:fldChar w:fldCharType="end"/>
    </w:r>
    <w:r/>
  </w:p>
  <w:p>
    <w:pPr>
      <w:pStyle w:val="1159"/>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8"/>
      <w:jc w:val="center"/>
    </w:pPr>
    <w:r>
      <w:fldChar w:fldCharType="begin"/>
    </w:r>
    <w:r>
      <w:rPr>
        <w:rStyle w:val="1243"/>
      </w:rPr>
      <w:instrText xml:space="preserve"> PAGE </w:instrText>
    </w:r>
    <w:r>
      <w:fldChar w:fldCharType="separate"/>
    </w:r>
    <w:r>
      <w:rPr>
        <w:rStyle w:val="1243"/>
      </w:rPr>
      <w:t xml:space="preserve">61</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8"/>
      <w:jc w:val="center"/>
    </w:pPr>
    <w:r>
      <w:fldChar w:fldCharType="begin"/>
    </w:r>
    <w:r>
      <w:rPr>
        <w:rStyle w:val="1243"/>
      </w:rPr>
      <w:instrText xml:space="preserve"> PAGE </w:instrText>
    </w:r>
    <w:r>
      <w:fldChar w:fldCharType="separate"/>
    </w:r>
    <w:r>
      <w:rPr>
        <w:rStyle w:val="1243"/>
      </w:rPr>
      <w:t xml:space="preserve">65</w:t>
    </w:r>
    <w:r>
      <w:fldChar w:fldCharType="end"/>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8"/>
      <w:jc w:val="center"/>
    </w:pPr>
    <w:r>
      <w:fldChar w:fldCharType="begin"/>
    </w:r>
    <w:r>
      <w:rPr>
        <w:rStyle w:val="1243"/>
      </w:rPr>
      <w:instrText xml:space="preserve"> PAGE </w:instrText>
    </w:r>
    <w:r>
      <w:fldChar w:fldCharType="separate"/>
    </w:r>
    <w:r>
      <w:rPr>
        <w:rStyle w:val="1243"/>
      </w:rPr>
      <w:t xml:space="preserve">55</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pPr>
    <w:r>
      <w:rPr>
        <w:rFonts w:hint="eastAsia"/>
      </w:rPr>
      <w:t xml:space="preserve">江苏金宸招标代理有限公司招标代理文件JCCG-2025-013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pPr>
    <w:r>
      <w:rPr>
        <w:rFonts w:hint="eastAsia" w:ascii="楷体" w:hAnsi="楷体" w:eastAsia="楷体"/>
      </w:rPr>
      <w:t xml:space="preserve">江苏金宸招标代理有限公司招标代理文件JCCG-2026-013</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7"/>
      <w:rPr>
        <w:rFonts w:eastAsia="楷体"/>
      </w:rPr>
      <w:pBdr>
        <w:bottom w:val="single" w:color="000000" w:sz="6" w:space="0"/>
      </w:pBdr>
    </w:pPr>
    <w:r>
      <w:rPr>
        <w:rFonts w:hint="eastAsia" w:ascii="楷体" w:hAnsi="楷体" w:eastAsia="楷体"/>
      </w:rPr>
      <w:t xml:space="preserve">江苏金宸招标代理有限公司招标代理文件JCCG-2026-013</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pPr>
    <w:r>
      <w:rPr>
        <w:rFonts w:hint="eastAsia" w:ascii="楷体" w:hAnsi="楷体" w:eastAsia="楷体"/>
      </w:rPr>
      <w:t xml:space="preserve">江苏金宸招标代理有限公司招标代理文件JCCG-2026-013</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pPr>
    <w:r>
      <w:rPr>
        <w:rFonts w:hint="eastAsia" w:ascii="楷体" w:hAnsi="楷体" w:eastAsia="楷体"/>
      </w:rPr>
      <w:t xml:space="preserve">江苏金宸招标代理有限公司招标代理文件JCCG-2026-013</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pPr>
    <w:r>
      <w:rPr>
        <w:rFonts w:hint="eastAsia" w:ascii="楷体" w:hAnsi="楷体" w:eastAsia="楷体"/>
      </w:rPr>
      <w:t xml:space="preserve">江苏金宸招标代理有限公司招标代理文件JCCG-2026-013</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7"/>
      <w:rPr>
        <w:rFonts w:ascii="仿宋_GB2312"/>
      </w:rPr>
    </w:pPr>
    <w:r>
      <w:rPr>
        <w:rFonts w:hint="eastAsia" w:ascii="楷体" w:hAnsi="楷体" w:eastAsia="楷体"/>
      </w:rPr>
      <w:t xml:space="preserve">江苏金宸招标代理有限公司招标代理文件JCCG-2026-013</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7"/>
    </w:pPr>
    <w:r>
      <w:rPr>
        <w:rFonts w:hint="eastAsia"/>
      </w:rPr>
      <w:t xml:space="preserve">江苏金宸招标代理有限公司</w:t>
    </w:r>
    <w:r>
      <w:t xml:space="preserve">招标代理文件</w:t>
    </w:r>
    <w:r>
      <w:rPr>
        <w:rFonts w:hint="eastAsia"/>
        <w:bCs/>
      </w:rPr>
      <w:t xml:space="preserve">JCCG-2025-013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pStyle w:val="1364"/>
      <w:isLgl w:val="false"/>
      <w:suff w:val="nothing"/>
      <w:lvlText w:val=""/>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1">
    <w:multiLevelType w:val="hybridMultilevel"/>
    <w:lvl w:ilvl="0">
      <w:start w:val="1"/>
      <w:numFmt w:val="decimal"/>
      <w:pStyle w:val="1289"/>
      <w:isLgl w:val="false"/>
      <w:suff w:val="tab"/>
      <w:lvlText w:val="%1)"/>
      <w:lvlJc w:val="left"/>
      <w:pPr>
        <w:ind w:left="420" w:firstLine="0"/>
      </w:pPr>
      <w:rPr>
        <w:rFonts w:hint="eastAsia"/>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2">
    <w:multiLevelType w:val="hybridMultilevel"/>
    <w:lvl w:ilvl="0">
      <w:start w:val="1"/>
      <w:numFmt w:val="decimal"/>
      <w:pStyle w:val="112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22"/>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pStyle w:val="1101"/>
      <w:isLgl w:val="false"/>
      <w:suff w:val="nothing"/>
      <w:lvlText w:val=""/>
      <w:lvlJc w:val="left"/>
      <w:pPr>
        <w:ind w:left="0" w:firstLine="0"/>
      </w:pPr>
      <w:rPr>
        <w:rFonts w:hint="eastAsia"/>
      </w:rPr>
    </w:lvl>
    <w:lvl w:ilvl="3">
      <w:start w:val="1"/>
      <w:numFmt w:val="decimal"/>
      <w:pStyle w:val="1102"/>
      <w:isLgl w:val="false"/>
      <w:suff w:val="nothing"/>
      <w:lvlText w:val=""/>
      <w:lvlJc w:val="left"/>
      <w:pPr>
        <w:ind w:left="0" w:firstLine="0"/>
      </w:pPr>
      <w:rPr>
        <w:rFonts w:hint="eastAsia"/>
      </w:rPr>
    </w:lvl>
    <w:lvl w:ilvl="4">
      <w:start w:val="1"/>
      <w:numFmt w:val="decimal"/>
      <w:pStyle w:val="1109"/>
      <w:isLgl w:val="false"/>
      <w:suff w:val="nothing"/>
      <w:lvlText w:val=""/>
      <w:lvlJc w:val="left"/>
      <w:pPr>
        <w:ind w:left="0" w:firstLine="0"/>
      </w:pPr>
      <w:rPr>
        <w:rFonts w:hint="eastAsia"/>
      </w:rPr>
    </w:lvl>
    <w:lvl w:ilvl="5">
      <w:start w:val="1"/>
      <w:numFmt w:val="decimal"/>
      <w:pStyle w:val="1110"/>
      <w:isLgl w:val="false"/>
      <w:suff w:val="nothing"/>
      <w:lvlText w:val=""/>
      <w:lvlJc w:val="left"/>
      <w:pPr>
        <w:ind w:left="0" w:firstLine="0"/>
      </w:pPr>
      <w:rPr>
        <w:rFonts w:hint="eastAsia"/>
      </w:rPr>
    </w:lvl>
    <w:lvl w:ilvl="6">
      <w:start w:val="1"/>
      <w:numFmt w:val="decimal"/>
      <w:pStyle w:val="1111"/>
      <w:isLgl w:val="false"/>
      <w:suff w:val="nothing"/>
      <w:lvlText w:val=""/>
      <w:lvlJc w:val="left"/>
      <w:pPr>
        <w:ind w:left="0" w:firstLine="0"/>
      </w:pPr>
      <w:rPr>
        <w:rFonts w:hint="eastAsia"/>
      </w:rPr>
    </w:lvl>
    <w:lvl w:ilvl="7">
      <w:start w:val="1"/>
      <w:numFmt w:val="decimal"/>
      <w:pStyle w:val="1112"/>
      <w:isLgl w:val="false"/>
      <w:suff w:val="nothing"/>
      <w:lvlText w:val=""/>
      <w:lvlJc w:val="left"/>
      <w:pPr>
        <w:ind w:left="0" w:firstLine="0"/>
      </w:pPr>
      <w:rPr>
        <w:rFonts w:hint="eastAsia"/>
      </w:rPr>
    </w:lvl>
    <w:lvl w:ilvl="8">
      <w:start w:val="1"/>
      <w:numFmt w:val="decimal"/>
      <w:pStyle w:val="1113"/>
      <w:isLgl w:val="false"/>
      <w:suff w:val="nothing"/>
      <w:lvlText w:val=""/>
      <w:lvlJc w:val="left"/>
      <w:pPr>
        <w:ind w:left="0" w:firstLine="0"/>
      </w:pPr>
      <w:rPr>
        <w:rFonts w:hint="eastAsia"/>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1)"/>
      <w:lvlJc w:val="left"/>
      <w:pPr>
        <w:ind w:left="420" w:hanging="420"/>
      </w:pPr>
      <w:rPr>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chineseCountingThousand"/>
      <w:pStyle w:val="1275"/>
      <w:isLgl w:val="false"/>
      <w:suff w:val="tab"/>
      <w:lvlText w:val="%1、"/>
      <w:lvlJc w:val="left"/>
      <w:pPr>
        <w:ind w:left="907" w:hanging="907"/>
      </w:pPr>
      <w:rPr>
        <w:rFonts w:hint="eastAsia"/>
      </w:rPr>
    </w:lvl>
    <w:lvl w:ilvl="1">
      <w:start w:val="1"/>
      <w:numFmt w:val="decimal"/>
      <w:pStyle w:val="1276"/>
      <w:isLgl w:val="false"/>
      <w:suff w:val="tab"/>
      <w:lvlText w:val="%2."/>
      <w:lvlJc w:val="left"/>
      <w:pPr>
        <w:ind w:left="1220" w:hanging="794"/>
      </w:pPr>
      <w:rPr>
        <w:rFonts w:hint="eastAsia"/>
      </w:rPr>
    </w:lvl>
    <w:lvl w:ilvl="2">
      <w:start w:val="1"/>
      <w:numFmt w:val="decimal"/>
      <w:pStyle w:val="1277"/>
      <w:isLgl w:val="false"/>
      <w:suff w:val="space"/>
      <w:lvlText w:val="%2.%3 "/>
      <w:lvlJc w:val="left"/>
      <w:pPr>
        <w:ind w:left="1333" w:hanging="907"/>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3">
      <w:start w:val="1"/>
      <w:numFmt w:val="decimal"/>
      <w:pStyle w:val="1278"/>
      <w:isLgl w:val="false"/>
      <w:suff w:val="space"/>
      <w:lvlText w:val="%2.%3.%4 "/>
      <w:lvlJc w:val="left"/>
      <w:pPr>
        <w:ind w:left="1021" w:hanging="1021"/>
      </w:pPr>
      <w:rPr>
        <w:rFonts w:hint="eastAsia"/>
      </w:rPr>
    </w:lvl>
    <w:lvl w:ilvl="4">
      <w:start w:val="1"/>
      <w:numFmt w:val="decimal"/>
      <w:isLgl w:val="false"/>
      <w:suff w:val="space"/>
      <w:lvlText w:val="%2.%3.%4.%5 "/>
      <w:lvlJc w:val="left"/>
      <w:pPr>
        <w:ind w:left="1985" w:hanging="1134"/>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space"/>
      <w:lvlText w:val="%2.%3.%4.%5.%6 "/>
      <w:lvlJc w:val="left"/>
      <w:pPr>
        <w:ind w:left="1247" w:hanging="1247"/>
      </w:pPr>
      <w:rPr>
        <w:rFonts w:hint="eastAsia"/>
      </w:rPr>
    </w:lvl>
    <w:lvl w:ilvl="6">
      <w:start w:val="1"/>
      <w:numFmt w:val="decimal"/>
      <w:isLgl w:val="false"/>
      <w:suff w:val="space"/>
      <w:lvlText w:val="图 %1.%7 "/>
      <w:lvlJc w:val="left"/>
      <w:pPr>
        <w:ind w:left="0" w:firstLine="0"/>
      </w:pPr>
      <w:rPr>
        <w:rFonts w:hint="eastAsia"/>
      </w:rPr>
    </w:lvl>
    <w:lvl w:ilvl="7">
      <w:start w:val="1"/>
      <w:numFmt w:val="decimal"/>
      <w:isLgl w:val="false"/>
      <w:suff w:val="space"/>
      <w:lvlText w:val="表 %1.%8 "/>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7">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7"/>
    <w:lvlOverride w:ilvl="0">
      <w:startOverride w:val="1"/>
    </w:lvlOverride>
    <w:lvlOverride w:ilvl="1">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4">
    <w:name w:val="TOC Heading"/>
    <w:uiPriority w:val="39"/>
    <w:unhideWhenUsed/>
  </w:style>
  <w:style w:type="paragraph" w:styleId="88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86">
    <w:name w:val="Heading 1"/>
    <w:basedOn w:val="885"/>
    <w:next w:val="885"/>
    <w:link w:val="1384"/>
    <w:uiPriority w:val="9"/>
    <w:qFormat/>
    <w:pPr>
      <w:keepLines/>
      <w:keepNext/>
      <w:spacing w:before="480" w:after="200"/>
      <w:outlineLvl w:val="0"/>
    </w:pPr>
    <w:rPr>
      <w:rFonts w:ascii="Arial" w:hAnsi="Arial" w:eastAsia="Arial" w:cs="Arial"/>
      <w:sz w:val="40"/>
      <w:szCs w:val="40"/>
    </w:rPr>
  </w:style>
  <w:style w:type="paragraph" w:styleId="887">
    <w:name w:val="Heading 2"/>
    <w:basedOn w:val="885"/>
    <w:next w:val="885"/>
    <w:link w:val="954"/>
    <w:uiPriority w:val="9"/>
    <w:unhideWhenUsed/>
    <w:qFormat/>
    <w:pPr>
      <w:keepLines/>
      <w:keepNext/>
      <w:spacing w:before="360" w:after="200"/>
      <w:outlineLvl w:val="1"/>
    </w:pPr>
    <w:rPr>
      <w:rFonts w:ascii="Arial" w:hAnsi="Arial" w:eastAsia="Arial" w:cs="Arial"/>
      <w:sz w:val="34"/>
    </w:rPr>
  </w:style>
  <w:style w:type="paragraph" w:styleId="888">
    <w:name w:val="Heading 3"/>
    <w:basedOn w:val="885"/>
    <w:next w:val="885"/>
    <w:link w:val="955"/>
    <w:uiPriority w:val="9"/>
    <w:unhideWhenUsed/>
    <w:qFormat/>
    <w:pPr>
      <w:keepLines/>
      <w:keepNext/>
      <w:spacing w:before="320" w:after="200"/>
      <w:outlineLvl w:val="2"/>
    </w:pPr>
    <w:rPr>
      <w:rFonts w:ascii="Arial" w:hAnsi="Arial" w:eastAsia="Arial" w:cs="Arial"/>
      <w:sz w:val="30"/>
      <w:szCs w:val="30"/>
    </w:rPr>
  </w:style>
  <w:style w:type="paragraph" w:styleId="889">
    <w:name w:val="Heading 4"/>
    <w:basedOn w:val="885"/>
    <w:next w:val="885"/>
    <w:link w:val="956"/>
    <w:uiPriority w:val="9"/>
    <w:unhideWhenUsed/>
    <w:qFormat/>
    <w:pPr>
      <w:keepLines/>
      <w:keepNext/>
      <w:spacing w:before="320" w:after="200"/>
      <w:outlineLvl w:val="3"/>
    </w:pPr>
    <w:rPr>
      <w:rFonts w:ascii="Arial" w:hAnsi="Arial" w:eastAsia="Arial" w:cs="Arial"/>
      <w:b/>
      <w:bCs/>
      <w:sz w:val="26"/>
      <w:szCs w:val="26"/>
    </w:rPr>
  </w:style>
  <w:style w:type="paragraph" w:styleId="890">
    <w:name w:val="Heading 5"/>
    <w:basedOn w:val="885"/>
    <w:next w:val="885"/>
    <w:link w:val="957"/>
    <w:uiPriority w:val="9"/>
    <w:unhideWhenUsed/>
    <w:qFormat/>
    <w:pPr>
      <w:keepLines/>
      <w:keepNext/>
      <w:spacing w:before="320" w:after="200"/>
      <w:outlineLvl w:val="4"/>
    </w:pPr>
    <w:rPr>
      <w:rFonts w:ascii="Arial" w:hAnsi="Arial" w:eastAsia="Arial" w:cs="Arial"/>
      <w:b/>
      <w:bCs/>
      <w:sz w:val="24"/>
    </w:rPr>
  </w:style>
  <w:style w:type="paragraph" w:styleId="891">
    <w:name w:val="Heading 6"/>
    <w:basedOn w:val="885"/>
    <w:next w:val="885"/>
    <w:link w:val="958"/>
    <w:uiPriority w:val="9"/>
    <w:unhideWhenUsed/>
    <w:qFormat/>
    <w:pPr>
      <w:keepLines/>
      <w:keepNext/>
      <w:spacing w:before="320" w:after="200"/>
      <w:outlineLvl w:val="5"/>
    </w:pPr>
    <w:rPr>
      <w:rFonts w:ascii="Arial" w:hAnsi="Arial" w:eastAsia="Arial" w:cs="Arial"/>
      <w:b/>
      <w:bCs/>
      <w:sz w:val="22"/>
      <w:szCs w:val="22"/>
    </w:rPr>
  </w:style>
  <w:style w:type="paragraph" w:styleId="892">
    <w:name w:val="Heading 7"/>
    <w:basedOn w:val="885"/>
    <w:next w:val="885"/>
    <w:link w:val="959"/>
    <w:uiPriority w:val="9"/>
    <w:unhideWhenUsed/>
    <w:qFormat/>
    <w:pPr>
      <w:keepLines/>
      <w:keepNext/>
      <w:spacing w:before="320" w:after="200"/>
      <w:outlineLvl w:val="6"/>
    </w:pPr>
    <w:rPr>
      <w:rFonts w:ascii="Arial" w:hAnsi="Arial" w:eastAsia="Arial" w:cs="Arial"/>
      <w:b/>
      <w:bCs/>
      <w:i/>
      <w:iCs/>
      <w:sz w:val="22"/>
      <w:szCs w:val="22"/>
    </w:rPr>
  </w:style>
  <w:style w:type="paragraph" w:styleId="893">
    <w:name w:val="Heading 8"/>
    <w:basedOn w:val="885"/>
    <w:next w:val="885"/>
    <w:link w:val="960"/>
    <w:uiPriority w:val="9"/>
    <w:unhideWhenUsed/>
    <w:qFormat/>
    <w:pPr>
      <w:keepLines/>
      <w:keepNext/>
      <w:spacing w:before="320" w:after="200"/>
      <w:outlineLvl w:val="7"/>
    </w:pPr>
    <w:rPr>
      <w:rFonts w:ascii="Arial" w:hAnsi="Arial" w:eastAsia="Arial" w:cs="Arial"/>
      <w:i/>
      <w:iCs/>
      <w:sz w:val="22"/>
      <w:szCs w:val="22"/>
    </w:rPr>
  </w:style>
  <w:style w:type="paragraph" w:styleId="894">
    <w:name w:val="Heading 9"/>
    <w:basedOn w:val="885"/>
    <w:next w:val="885"/>
    <w:link w:val="961"/>
    <w:uiPriority w:val="9"/>
    <w:unhideWhenUsed/>
    <w:qFormat/>
    <w:pPr>
      <w:keepLines/>
      <w:keepNext/>
      <w:spacing w:before="320" w:after="200"/>
      <w:outlineLvl w:val="8"/>
    </w:pPr>
    <w:rPr>
      <w:rFonts w:ascii="Arial" w:hAnsi="Arial" w:eastAsia="Arial" w:cs="Arial"/>
      <w:i/>
      <w:iCs/>
      <w:szCs w:val="21"/>
    </w:rPr>
  </w:style>
  <w:style w:type="character" w:styleId="895" w:default="1">
    <w:name w:val="Default Paragraph Font"/>
    <w:uiPriority w:val="1"/>
    <w:semiHidden/>
    <w:unhideWhenUsed/>
  </w:style>
  <w:style w:type="table" w:styleId="896" w:default="1">
    <w:name w:val="Normal Table"/>
    <w:uiPriority w:val="99"/>
    <w:semiHidden/>
    <w:unhideWhenUsed/>
    <w:qFormat/>
    <w:tblPr>
      <w:tblCellMar>
        <w:left w:w="108" w:type="dxa"/>
        <w:top w:w="0" w:type="dxa"/>
        <w:right w:w="108" w:type="dxa"/>
        <w:bottom w:w="0" w:type="dxa"/>
      </w:tblCellMar>
    </w:tblPr>
  </w:style>
  <w:style w:type="paragraph" w:styleId="897">
    <w:name w:val="toc 7"/>
    <w:basedOn w:val="885"/>
    <w:next w:val="885"/>
    <w:uiPriority w:val="39"/>
    <w:unhideWhenUsed/>
    <w:qFormat/>
    <w:pPr>
      <w:ind w:left="1701"/>
      <w:spacing w:after="57"/>
    </w:pPr>
  </w:style>
  <w:style w:type="paragraph" w:styleId="898">
    <w:name w:val="Note Heading"/>
    <w:basedOn w:val="885"/>
    <w:next w:val="885"/>
    <w:uiPriority w:val="0"/>
    <w:qFormat/>
    <w:pPr>
      <w:ind w:firstLine="480"/>
      <w:jc w:val="center"/>
      <w:spacing w:line="360" w:lineRule="auto"/>
    </w:pPr>
    <w:rPr>
      <w:lang w:val="zh-CN"/>
    </w:rPr>
  </w:style>
  <w:style w:type="paragraph" w:styleId="899">
    <w:name w:val="Caption"/>
    <w:basedOn w:val="885"/>
    <w:next w:val="885"/>
    <w:uiPriority w:val="35"/>
    <w:semiHidden/>
    <w:unhideWhenUsed/>
    <w:qFormat/>
    <w:pPr>
      <w:spacing w:line="276" w:lineRule="auto"/>
    </w:pPr>
    <w:rPr>
      <w:b/>
      <w:bCs/>
      <w:color w:val="4f81bd" w:themeColor="accent1"/>
      <w:sz w:val="18"/>
      <w:szCs w:val="18"/>
    </w:rPr>
  </w:style>
  <w:style w:type="paragraph" w:styleId="900">
    <w:name w:val="index 5"/>
    <w:basedOn w:val="885"/>
    <w:next w:val="885"/>
    <w:uiPriority w:val="0"/>
    <w:qFormat/>
    <w:pPr>
      <w:ind w:left="798"/>
    </w:pPr>
    <w:rPr>
      <w:rFonts w:ascii="Calibri" w:hAnsi="Calibri" w:eastAsia="Times New Roman"/>
      <w:sz w:val="24"/>
    </w:rPr>
  </w:style>
  <w:style w:type="paragraph" w:styleId="901">
    <w:name w:val="Body Text"/>
    <w:basedOn w:val="885"/>
    <w:uiPriority w:val="0"/>
    <w:qFormat/>
    <w:pPr>
      <w:jc w:val="left"/>
      <w:widowControl/>
    </w:pPr>
  </w:style>
  <w:style w:type="paragraph" w:styleId="902">
    <w:name w:val="Body Text Indent"/>
    <w:basedOn w:val="885"/>
    <w:next w:val="903"/>
    <w:uiPriority w:val="0"/>
    <w:qFormat/>
    <w:pPr>
      <w:ind w:left="420"/>
      <w:spacing w:after="120"/>
    </w:pPr>
    <w:rPr>
      <w:sz w:val="24"/>
    </w:rPr>
  </w:style>
  <w:style w:type="paragraph" w:styleId="903">
    <w:name w:val="envelope return"/>
    <w:basedOn w:val="885"/>
    <w:uiPriority w:val="99"/>
    <w:unhideWhenUsed/>
    <w:qFormat/>
    <w:rPr>
      <w:rFonts w:ascii="Arial" w:hAnsi="Arial"/>
    </w:rPr>
  </w:style>
  <w:style w:type="paragraph" w:styleId="904">
    <w:name w:val="toc 5"/>
    <w:basedOn w:val="885"/>
    <w:next w:val="885"/>
    <w:uiPriority w:val="39"/>
    <w:unhideWhenUsed/>
    <w:qFormat/>
    <w:pPr>
      <w:ind w:left="1134"/>
      <w:spacing w:after="57"/>
    </w:pPr>
  </w:style>
  <w:style w:type="paragraph" w:styleId="905">
    <w:name w:val="toc 3"/>
    <w:basedOn w:val="885"/>
    <w:next w:val="885"/>
    <w:uiPriority w:val="39"/>
    <w:unhideWhenUsed/>
    <w:qFormat/>
    <w:pPr>
      <w:ind w:left="567"/>
      <w:spacing w:after="57"/>
    </w:pPr>
  </w:style>
  <w:style w:type="paragraph" w:styleId="906">
    <w:name w:val="Plain Text"/>
    <w:basedOn w:val="885"/>
    <w:link w:val="1386"/>
    <w:uiPriority w:val="0"/>
    <w:qFormat/>
    <w:rPr>
      <w:rFonts w:ascii="宋体" w:hAnsi="Courier New"/>
      <w:sz w:val="24"/>
      <w:szCs w:val="20"/>
    </w:rPr>
  </w:style>
  <w:style w:type="paragraph" w:styleId="907">
    <w:name w:val="toc 8"/>
    <w:basedOn w:val="885"/>
    <w:next w:val="885"/>
    <w:uiPriority w:val="39"/>
    <w:unhideWhenUsed/>
    <w:qFormat/>
    <w:pPr>
      <w:ind w:left="1984"/>
      <w:spacing w:after="57"/>
    </w:pPr>
  </w:style>
  <w:style w:type="paragraph" w:styleId="908">
    <w:name w:val="endnote text"/>
    <w:basedOn w:val="885"/>
    <w:link w:val="1097"/>
    <w:uiPriority w:val="99"/>
    <w:semiHidden/>
    <w:unhideWhenUsed/>
    <w:qFormat/>
    <w:rPr>
      <w:sz w:val="20"/>
    </w:rPr>
  </w:style>
  <w:style w:type="paragraph" w:styleId="909">
    <w:name w:val="Balloon Text"/>
    <w:basedOn w:val="885"/>
    <w:link w:val="1373"/>
    <w:uiPriority w:val="99"/>
    <w:semiHidden/>
    <w:unhideWhenUsed/>
    <w:qFormat/>
    <w:rPr>
      <w:sz w:val="18"/>
      <w:szCs w:val="18"/>
    </w:rPr>
  </w:style>
  <w:style w:type="paragraph" w:styleId="910">
    <w:name w:val="Footer"/>
    <w:basedOn w:val="885"/>
    <w:link w:val="970"/>
    <w:uiPriority w:val="99"/>
    <w:unhideWhenUsed/>
    <w:qFormat/>
    <w:pPr>
      <w:tabs>
        <w:tab w:val="center" w:pos="7143" w:leader="none"/>
        <w:tab w:val="right" w:pos="14287" w:leader="none"/>
      </w:tabs>
    </w:pPr>
  </w:style>
  <w:style w:type="paragraph" w:styleId="911">
    <w:name w:val="Header"/>
    <w:basedOn w:val="885"/>
    <w:link w:val="968"/>
    <w:uiPriority w:val="99"/>
    <w:unhideWhenUsed/>
    <w:qFormat/>
    <w:pPr>
      <w:tabs>
        <w:tab w:val="center" w:pos="7143" w:leader="none"/>
        <w:tab w:val="right" w:pos="14287" w:leader="none"/>
      </w:tabs>
    </w:pPr>
  </w:style>
  <w:style w:type="paragraph" w:styleId="912">
    <w:name w:val="toc 1"/>
    <w:basedOn w:val="885"/>
    <w:next w:val="885"/>
    <w:uiPriority w:val="39"/>
    <w:unhideWhenUsed/>
    <w:qFormat/>
    <w:pPr>
      <w:spacing w:after="57"/>
    </w:pPr>
  </w:style>
  <w:style w:type="paragraph" w:styleId="913">
    <w:name w:val="toc 4"/>
    <w:basedOn w:val="885"/>
    <w:next w:val="885"/>
    <w:uiPriority w:val="39"/>
    <w:unhideWhenUsed/>
    <w:qFormat/>
    <w:pPr>
      <w:ind w:left="850"/>
      <w:spacing w:after="57"/>
    </w:pPr>
  </w:style>
  <w:style w:type="paragraph" w:styleId="914">
    <w:name w:val="Subtitle"/>
    <w:basedOn w:val="885"/>
    <w:next w:val="885"/>
    <w:link w:val="965"/>
    <w:uiPriority w:val="11"/>
    <w:qFormat/>
    <w:pPr>
      <w:spacing w:before="200" w:after="200"/>
    </w:pPr>
    <w:rPr>
      <w:sz w:val="24"/>
    </w:rPr>
  </w:style>
  <w:style w:type="paragraph" w:styleId="915">
    <w:name w:val="footnote text"/>
    <w:basedOn w:val="885"/>
    <w:next w:val="900"/>
    <w:link w:val="1096"/>
    <w:uiPriority w:val="99"/>
    <w:semiHidden/>
    <w:unhideWhenUsed/>
    <w:qFormat/>
    <w:pPr>
      <w:spacing w:after="40"/>
    </w:pPr>
    <w:rPr>
      <w:sz w:val="18"/>
    </w:rPr>
  </w:style>
  <w:style w:type="paragraph" w:styleId="916">
    <w:name w:val="toc 6"/>
    <w:basedOn w:val="885"/>
    <w:next w:val="885"/>
    <w:uiPriority w:val="39"/>
    <w:unhideWhenUsed/>
    <w:qFormat/>
    <w:pPr>
      <w:ind w:left="1417"/>
      <w:spacing w:after="57"/>
    </w:pPr>
  </w:style>
  <w:style w:type="paragraph" w:styleId="917">
    <w:name w:val="table of figures"/>
    <w:basedOn w:val="885"/>
    <w:next w:val="885"/>
    <w:uiPriority w:val="99"/>
    <w:unhideWhenUsed/>
    <w:qFormat/>
  </w:style>
  <w:style w:type="paragraph" w:styleId="918">
    <w:name w:val="toc 2"/>
    <w:basedOn w:val="885"/>
    <w:next w:val="885"/>
    <w:uiPriority w:val="39"/>
    <w:unhideWhenUsed/>
    <w:qFormat/>
    <w:pPr>
      <w:ind w:left="283"/>
      <w:spacing w:after="57"/>
    </w:pPr>
  </w:style>
  <w:style w:type="paragraph" w:styleId="919">
    <w:name w:val="toc 9"/>
    <w:basedOn w:val="885"/>
    <w:next w:val="885"/>
    <w:uiPriority w:val="39"/>
    <w:unhideWhenUsed/>
    <w:qFormat/>
    <w:pPr>
      <w:ind w:left="2268"/>
      <w:spacing w:after="57"/>
    </w:pPr>
  </w:style>
  <w:style w:type="paragraph" w:styleId="920">
    <w:name w:val="Normal (Web)"/>
    <w:basedOn w:val="885"/>
    <w:uiPriority w:val="0"/>
    <w:unhideWhenUsed/>
    <w:qFormat/>
    <w:pPr>
      <w:jc w:val="left"/>
      <w:spacing w:beforeAutospacing="1" w:afterAutospacing="1"/>
    </w:pPr>
    <w:rPr>
      <w:sz w:val="24"/>
    </w:rPr>
  </w:style>
  <w:style w:type="paragraph" w:styleId="921">
    <w:name w:val="Title"/>
    <w:basedOn w:val="885"/>
    <w:next w:val="885"/>
    <w:link w:val="964"/>
    <w:uiPriority w:val="10"/>
    <w:qFormat/>
    <w:pPr>
      <w:contextualSpacing/>
      <w:spacing w:before="300" w:after="200"/>
    </w:pPr>
    <w:rPr>
      <w:sz w:val="48"/>
      <w:szCs w:val="48"/>
    </w:rPr>
  </w:style>
  <w:style w:type="paragraph" w:styleId="922">
    <w:name w:val="Body Text First Indent"/>
    <w:basedOn w:val="901"/>
    <w:uiPriority w:val="99"/>
    <w:qFormat/>
    <w:pPr>
      <w:ind w:firstLine="420"/>
      <w:tabs>
        <w:tab w:val="left" w:pos="567" w:leader="none"/>
      </w:tabs>
    </w:pPr>
    <w:rPr>
      <w:szCs w:val="20"/>
    </w:rPr>
  </w:style>
  <w:style w:type="paragraph" w:styleId="923">
    <w:name w:val="Body Text First Indent 2"/>
    <w:basedOn w:val="902"/>
    <w:uiPriority w:val="0"/>
    <w:qFormat/>
    <w:pPr>
      <w:ind w:firstLine="420"/>
    </w:pPr>
  </w:style>
  <w:style w:type="table" w:styleId="9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5">
    <w:name w:val="Strong"/>
    <w:basedOn w:val="895"/>
    <w:uiPriority w:val="22"/>
    <w:qFormat/>
    <w:rPr>
      <w:b/>
      <w:bCs/>
    </w:rPr>
  </w:style>
  <w:style w:type="character" w:styleId="926">
    <w:name w:val="endnote reference"/>
    <w:uiPriority w:val="99"/>
    <w:semiHidden/>
    <w:unhideWhenUsed/>
    <w:qFormat/>
    <w:rPr>
      <w:vertAlign w:val="superscript"/>
    </w:rPr>
  </w:style>
  <w:style w:type="character" w:styleId="927">
    <w:name w:val="FollowedHyperlink"/>
    <w:basedOn w:val="895"/>
    <w:uiPriority w:val="99"/>
    <w:semiHidden/>
    <w:unhideWhenUsed/>
    <w:qFormat/>
    <w:rPr>
      <w:color w:val="800080"/>
      <w:u w:val="none"/>
    </w:rPr>
  </w:style>
  <w:style w:type="character" w:styleId="928">
    <w:name w:val="Emphasis"/>
    <w:uiPriority w:val="0"/>
    <w:qFormat/>
    <w:rPr>
      <w:i/>
    </w:rPr>
  </w:style>
  <w:style w:type="character" w:styleId="929">
    <w:name w:val="HTML Definition"/>
    <w:basedOn w:val="895"/>
    <w:uiPriority w:val="99"/>
    <w:semiHidden/>
    <w:unhideWhenUsed/>
    <w:qFormat/>
    <w:rPr>
      <w:i/>
      <w:iCs/>
    </w:rPr>
  </w:style>
  <w:style w:type="character" w:styleId="930">
    <w:name w:val="HTML Typewriter"/>
    <w:basedOn w:val="895"/>
    <w:uiPriority w:val="99"/>
    <w:semiHidden/>
    <w:unhideWhenUsed/>
    <w:qFormat/>
    <w:rPr>
      <w:rFonts w:hint="default" w:ascii="monospace" w:hAnsi="monospace" w:eastAsia="monospace" w:cs="monospace"/>
      <w:sz w:val="20"/>
    </w:rPr>
  </w:style>
  <w:style w:type="character" w:styleId="931">
    <w:name w:val="Hyperlink"/>
    <w:uiPriority w:val="99"/>
    <w:unhideWhenUsed/>
    <w:qFormat/>
    <w:rPr>
      <w:color w:val="0000ff" w:themeColor="hyperlink"/>
      <w:u w:val="single"/>
    </w:rPr>
  </w:style>
  <w:style w:type="character" w:styleId="932">
    <w:name w:val="HTML Code"/>
    <w:basedOn w:val="895"/>
    <w:uiPriority w:val="99"/>
    <w:semiHidden/>
    <w:unhideWhenUsed/>
    <w:qFormat/>
    <w:rPr>
      <w:rFonts w:ascii="monospace" w:hAnsi="monospace" w:eastAsia="monospace" w:cs="monospace"/>
      <w:sz w:val="20"/>
    </w:rPr>
  </w:style>
  <w:style w:type="character" w:styleId="933">
    <w:name w:val="footnote reference"/>
    <w:uiPriority w:val="99"/>
    <w:unhideWhenUsed/>
    <w:qFormat/>
    <w:rPr>
      <w:vertAlign w:val="superscript"/>
    </w:rPr>
  </w:style>
  <w:style w:type="character" w:styleId="934">
    <w:name w:val="HTML Keyboard"/>
    <w:basedOn w:val="895"/>
    <w:uiPriority w:val="99"/>
    <w:semiHidden/>
    <w:unhideWhenUsed/>
    <w:qFormat/>
    <w:rPr>
      <w:rFonts w:hint="default" w:ascii="monospace" w:hAnsi="monospace" w:eastAsia="monospace" w:cs="monospace"/>
      <w:sz w:val="20"/>
    </w:rPr>
  </w:style>
  <w:style w:type="character" w:styleId="935">
    <w:name w:val="HTML Sample"/>
    <w:basedOn w:val="895"/>
    <w:uiPriority w:val="99"/>
    <w:semiHidden/>
    <w:unhideWhenUsed/>
    <w:qFormat/>
    <w:rPr>
      <w:rFonts w:hint="default" w:ascii="monospace" w:hAnsi="monospace" w:eastAsia="monospace" w:cs="monospace"/>
    </w:rPr>
  </w:style>
  <w:style w:type="character" w:styleId="936" w:customStyle="1">
    <w:name w:val="Heading 1 Char"/>
    <w:basedOn w:val="895"/>
    <w:uiPriority w:val="9"/>
    <w:qFormat/>
    <w:rPr>
      <w:rFonts w:ascii="Arial" w:hAnsi="Arial" w:eastAsia="Arial" w:cs="Arial"/>
      <w:sz w:val="40"/>
      <w:szCs w:val="40"/>
    </w:rPr>
  </w:style>
  <w:style w:type="character" w:styleId="937" w:customStyle="1">
    <w:name w:val="Heading 2 Char"/>
    <w:basedOn w:val="895"/>
    <w:uiPriority w:val="9"/>
    <w:qFormat/>
    <w:rPr>
      <w:rFonts w:ascii="Arial" w:hAnsi="Arial" w:eastAsia="Arial" w:cs="Arial"/>
      <w:sz w:val="34"/>
    </w:rPr>
  </w:style>
  <w:style w:type="character" w:styleId="938" w:customStyle="1">
    <w:name w:val="Heading 3 Char"/>
    <w:basedOn w:val="895"/>
    <w:uiPriority w:val="9"/>
    <w:qFormat/>
    <w:rPr>
      <w:rFonts w:ascii="Arial" w:hAnsi="Arial" w:eastAsia="Arial" w:cs="Arial"/>
      <w:sz w:val="30"/>
      <w:szCs w:val="30"/>
    </w:rPr>
  </w:style>
  <w:style w:type="character" w:styleId="939" w:customStyle="1">
    <w:name w:val="Heading 4 Char"/>
    <w:basedOn w:val="895"/>
    <w:uiPriority w:val="9"/>
    <w:qFormat/>
    <w:rPr>
      <w:rFonts w:ascii="Arial" w:hAnsi="Arial" w:eastAsia="Arial" w:cs="Arial"/>
      <w:b/>
      <w:bCs/>
      <w:sz w:val="26"/>
      <w:szCs w:val="26"/>
    </w:rPr>
  </w:style>
  <w:style w:type="character" w:styleId="940" w:customStyle="1">
    <w:name w:val="Heading 5 Char"/>
    <w:basedOn w:val="895"/>
    <w:uiPriority w:val="9"/>
    <w:qFormat/>
    <w:rPr>
      <w:rFonts w:ascii="Arial" w:hAnsi="Arial" w:eastAsia="Arial" w:cs="Arial"/>
      <w:b/>
      <w:bCs/>
      <w:sz w:val="24"/>
      <w:szCs w:val="24"/>
    </w:rPr>
  </w:style>
  <w:style w:type="character" w:styleId="941" w:customStyle="1">
    <w:name w:val="Heading 6 Char"/>
    <w:basedOn w:val="895"/>
    <w:uiPriority w:val="9"/>
    <w:qFormat/>
    <w:rPr>
      <w:rFonts w:ascii="Arial" w:hAnsi="Arial" w:eastAsia="Arial" w:cs="Arial"/>
      <w:b/>
      <w:bCs/>
      <w:sz w:val="22"/>
      <w:szCs w:val="22"/>
    </w:rPr>
  </w:style>
  <w:style w:type="character" w:styleId="942" w:customStyle="1">
    <w:name w:val="Heading 7 Char"/>
    <w:basedOn w:val="895"/>
    <w:uiPriority w:val="9"/>
    <w:qFormat/>
    <w:rPr>
      <w:rFonts w:ascii="Arial" w:hAnsi="Arial" w:eastAsia="Arial" w:cs="Arial"/>
      <w:b/>
      <w:bCs/>
      <w:i/>
      <w:iCs/>
      <w:sz w:val="22"/>
      <w:szCs w:val="22"/>
    </w:rPr>
  </w:style>
  <w:style w:type="character" w:styleId="943" w:customStyle="1">
    <w:name w:val="Heading 8 Char"/>
    <w:basedOn w:val="895"/>
    <w:uiPriority w:val="9"/>
    <w:qFormat/>
    <w:rPr>
      <w:rFonts w:ascii="Arial" w:hAnsi="Arial" w:eastAsia="Arial" w:cs="Arial"/>
      <w:i/>
      <w:iCs/>
      <w:sz w:val="22"/>
      <w:szCs w:val="22"/>
    </w:rPr>
  </w:style>
  <w:style w:type="character" w:styleId="944" w:customStyle="1">
    <w:name w:val="Heading 9 Char"/>
    <w:basedOn w:val="895"/>
    <w:uiPriority w:val="9"/>
    <w:qFormat/>
    <w:rPr>
      <w:rFonts w:ascii="Arial" w:hAnsi="Arial" w:eastAsia="Arial" w:cs="Arial"/>
      <w:i/>
      <w:iCs/>
      <w:sz w:val="21"/>
      <w:szCs w:val="21"/>
    </w:rPr>
  </w:style>
  <w:style w:type="character" w:styleId="945" w:customStyle="1">
    <w:name w:val="Title Char"/>
    <w:basedOn w:val="895"/>
    <w:uiPriority w:val="10"/>
    <w:qFormat/>
    <w:rPr>
      <w:sz w:val="48"/>
      <w:szCs w:val="48"/>
    </w:rPr>
  </w:style>
  <w:style w:type="character" w:styleId="946" w:customStyle="1">
    <w:name w:val="Subtitle Char"/>
    <w:basedOn w:val="895"/>
    <w:uiPriority w:val="11"/>
    <w:qFormat/>
    <w:rPr>
      <w:sz w:val="24"/>
      <w:szCs w:val="24"/>
    </w:rPr>
  </w:style>
  <w:style w:type="character" w:styleId="947" w:customStyle="1">
    <w:name w:val="Header Char"/>
    <w:basedOn w:val="895"/>
    <w:uiPriority w:val="99"/>
    <w:qFormat/>
  </w:style>
  <w:style w:type="character" w:styleId="948" w:customStyle="1">
    <w:name w:val="Caption Char"/>
    <w:uiPriority w:val="99"/>
    <w:qFormat/>
  </w:style>
  <w:style w:type="character" w:styleId="949" w:customStyle="1">
    <w:name w:val="Footnote Text Char"/>
    <w:uiPriority w:val="99"/>
    <w:qFormat/>
    <w:rPr>
      <w:sz w:val="18"/>
    </w:rPr>
  </w:style>
  <w:style w:type="character" w:styleId="950" w:customStyle="1">
    <w:name w:val="Endnote Text Char"/>
    <w:uiPriority w:val="99"/>
    <w:qFormat/>
    <w:rPr>
      <w:sz w:val="20"/>
    </w:rPr>
  </w:style>
  <w:style w:type="paragraph" w:styleId="951" w:customStyle="1">
    <w:name w:val="TOC 标题1"/>
    <w:uiPriority w:val="39"/>
    <w:unhideWhenUsed/>
    <w:qFormat/>
    <w:rPr>
      <w:rFonts w:ascii="Times New Roman" w:hAnsi="Times New Roman" w:eastAsia="宋体" w:cs="Times New Roman"/>
      <w:lang w:val="en-US" w:eastAsia="zh-CN" w:bidi="ar-SA"/>
    </w:rPr>
  </w:style>
  <w:style w:type="paragraph" w:styleId="952" w:customStyle="1">
    <w:name w:val="列出段落1"/>
    <w:basedOn w:val="885"/>
    <w:uiPriority w:val="0"/>
    <w:qFormat/>
    <w:pPr>
      <w:contextualSpacing/>
      <w:ind w:left="720"/>
      <w:jc w:val="left"/>
      <w:widowControl/>
    </w:pPr>
    <w:rPr>
      <w:sz w:val="24"/>
      <w:lang w:eastAsia="en-US"/>
    </w:rPr>
  </w:style>
  <w:style w:type="character" w:styleId="953" w:customStyle="1">
    <w:name w:val="标题 1 Char1"/>
    <w:link w:val="886"/>
    <w:uiPriority w:val="9"/>
    <w:qFormat/>
    <w:rPr>
      <w:rFonts w:ascii="Arial" w:hAnsi="Arial" w:eastAsia="Arial" w:cs="Arial"/>
      <w:sz w:val="40"/>
      <w:szCs w:val="40"/>
    </w:rPr>
  </w:style>
  <w:style w:type="character" w:styleId="954" w:customStyle="1">
    <w:name w:val="标题 2 Char1"/>
    <w:link w:val="887"/>
    <w:uiPriority w:val="9"/>
    <w:qFormat/>
    <w:rPr>
      <w:rFonts w:ascii="Arial" w:hAnsi="Arial" w:eastAsia="Arial" w:cs="Arial"/>
      <w:sz w:val="34"/>
    </w:rPr>
  </w:style>
  <w:style w:type="character" w:styleId="955" w:customStyle="1">
    <w:name w:val="标题 3 Char1"/>
    <w:link w:val="888"/>
    <w:uiPriority w:val="9"/>
    <w:qFormat/>
    <w:rPr>
      <w:rFonts w:ascii="Arial" w:hAnsi="Arial" w:eastAsia="Arial" w:cs="Arial"/>
      <w:sz w:val="30"/>
      <w:szCs w:val="30"/>
    </w:rPr>
  </w:style>
  <w:style w:type="character" w:styleId="956" w:customStyle="1">
    <w:name w:val="标题 4 Char1"/>
    <w:link w:val="889"/>
    <w:uiPriority w:val="9"/>
    <w:qFormat/>
    <w:rPr>
      <w:rFonts w:ascii="Arial" w:hAnsi="Arial" w:eastAsia="Arial" w:cs="Arial"/>
      <w:b/>
      <w:bCs/>
      <w:sz w:val="26"/>
      <w:szCs w:val="26"/>
    </w:rPr>
  </w:style>
  <w:style w:type="character" w:styleId="957" w:customStyle="1">
    <w:name w:val="标题 5 Char1"/>
    <w:link w:val="890"/>
    <w:uiPriority w:val="9"/>
    <w:qFormat/>
    <w:rPr>
      <w:rFonts w:ascii="Arial" w:hAnsi="Arial" w:eastAsia="Arial" w:cs="Arial"/>
      <w:b/>
      <w:bCs/>
      <w:sz w:val="24"/>
      <w:szCs w:val="24"/>
    </w:rPr>
  </w:style>
  <w:style w:type="character" w:styleId="958" w:customStyle="1">
    <w:name w:val="标题 6 Char1"/>
    <w:link w:val="891"/>
    <w:uiPriority w:val="9"/>
    <w:qFormat/>
    <w:rPr>
      <w:rFonts w:ascii="Arial" w:hAnsi="Arial" w:eastAsia="Arial" w:cs="Arial"/>
      <w:b/>
      <w:bCs/>
      <w:sz w:val="22"/>
      <w:szCs w:val="22"/>
    </w:rPr>
  </w:style>
  <w:style w:type="character" w:styleId="959" w:customStyle="1">
    <w:name w:val="标题 7 Char1"/>
    <w:link w:val="892"/>
    <w:uiPriority w:val="9"/>
    <w:qFormat/>
    <w:rPr>
      <w:rFonts w:ascii="Arial" w:hAnsi="Arial" w:eastAsia="Arial" w:cs="Arial"/>
      <w:b/>
      <w:bCs/>
      <w:i/>
      <w:iCs/>
      <w:sz w:val="22"/>
      <w:szCs w:val="22"/>
    </w:rPr>
  </w:style>
  <w:style w:type="character" w:styleId="960" w:customStyle="1">
    <w:name w:val="标题 8 Char1"/>
    <w:link w:val="893"/>
    <w:uiPriority w:val="9"/>
    <w:qFormat/>
    <w:rPr>
      <w:rFonts w:ascii="Arial" w:hAnsi="Arial" w:eastAsia="Arial" w:cs="Arial"/>
      <w:i/>
      <w:iCs/>
      <w:sz w:val="22"/>
      <w:szCs w:val="22"/>
    </w:rPr>
  </w:style>
  <w:style w:type="character" w:styleId="961" w:customStyle="1">
    <w:name w:val="标题 9 Char1"/>
    <w:link w:val="894"/>
    <w:uiPriority w:val="9"/>
    <w:qFormat/>
    <w:rPr>
      <w:rFonts w:ascii="Arial" w:hAnsi="Arial" w:eastAsia="Arial" w:cs="Arial"/>
      <w:i/>
      <w:iCs/>
      <w:sz w:val="21"/>
      <w:szCs w:val="21"/>
    </w:rPr>
  </w:style>
  <w:style w:type="paragraph" w:styleId="962">
    <w:name w:val="List Paragraph"/>
    <w:basedOn w:val="885"/>
    <w:uiPriority w:val="34"/>
    <w:qFormat/>
    <w:pPr>
      <w:contextualSpacing/>
      <w:ind w:left="720"/>
    </w:pPr>
  </w:style>
  <w:style w:type="paragraph" w:styleId="963">
    <w:name w:val="No Spacing"/>
    <w:uiPriority w:val="1"/>
    <w:qFormat/>
    <w:rPr>
      <w:rFonts w:ascii="Times New Roman" w:hAnsi="Times New Roman" w:eastAsia="宋体" w:cs="Times New Roman"/>
      <w:lang w:val="en-US" w:eastAsia="zh-CN" w:bidi="ar-SA"/>
    </w:rPr>
  </w:style>
  <w:style w:type="character" w:styleId="964" w:customStyle="1">
    <w:name w:val="标题 Char2"/>
    <w:link w:val="921"/>
    <w:uiPriority w:val="10"/>
    <w:qFormat/>
    <w:rPr>
      <w:sz w:val="48"/>
      <w:szCs w:val="48"/>
    </w:rPr>
  </w:style>
  <w:style w:type="character" w:styleId="965" w:customStyle="1">
    <w:name w:val="副标题 Char2"/>
    <w:link w:val="914"/>
    <w:uiPriority w:val="11"/>
    <w:qFormat/>
    <w:rPr>
      <w:sz w:val="24"/>
      <w:szCs w:val="24"/>
    </w:rPr>
  </w:style>
  <w:style w:type="paragraph" w:styleId="966">
    <w:name w:val="Quote"/>
    <w:basedOn w:val="885"/>
    <w:next w:val="885"/>
    <w:uiPriority w:val="29"/>
    <w:qFormat/>
    <w:pPr>
      <w:ind w:left="720" w:right="720"/>
    </w:pPr>
    <w:rPr>
      <w:i/>
    </w:rPr>
  </w:style>
  <w:style w:type="paragraph" w:styleId="967">
    <w:name w:val="Intense Quote"/>
    <w:basedOn w:val="885"/>
    <w:next w:val="8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8" w:customStyle="1">
    <w:name w:val="页眉 Char1"/>
    <w:link w:val="911"/>
    <w:uiPriority w:val="99"/>
    <w:qFormat/>
  </w:style>
  <w:style w:type="character" w:styleId="969" w:customStyle="1">
    <w:name w:val="Footer Char"/>
    <w:link w:val="910"/>
    <w:uiPriority w:val="99"/>
    <w:qFormat/>
  </w:style>
  <w:style w:type="character" w:styleId="970" w:customStyle="1">
    <w:name w:val="页脚 Char1"/>
    <w:link w:val="910"/>
    <w:uiPriority w:val="99"/>
    <w:qFormat/>
  </w:style>
  <w:style w:type="table" w:styleId="97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101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1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101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1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1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1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1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5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5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5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5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5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6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6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6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106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106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06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6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6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6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6" w:customStyle="1">
    <w:name w:val="脚注文本 Char"/>
    <w:link w:val="915"/>
    <w:uiPriority w:val="99"/>
    <w:qFormat/>
    <w:rPr>
      <w:sz w:val="18"/>
    </w:rPr>
  </w:style>
  <w:style w:type="character" w:styleId="1097" w:customStyle="1">
    <w:name w:val="尾注文本 Char"/>
    <w:link w:val="908"/>
    <w:uiPriority w:val="99"/>
    <w:qFormat/>
    <w:rPr>
      <w:sz w:val="20"/>
    </w:rPr>
  </w:style>
  <w:style w:type="paragraph" w:styleId="1098" w:customStyle="1">
    <w:name w:val="TOC 标题111"/>
    <w:uiPriority w:val="39"/>
    <w:unhideWhenUsed/>
    <w:qFormat/>
    <w:rPr>
      <w:rFonts w:ascii="Times New Roman" w:hAnsi="Times New Roman" w:eastAsia="宋体" w:cs="Times New Roman"/>
      <w:lang w:val="en-US" w:eastAsia="zh-CN" w:bidi="ar-SA"/>
    </w:rPr>
  </w:style>
  <w:style w:type="paragraph" w:styleId="1099" w:customStyle="1">
    <w:name w:val="标题 11"/>
    <w:basedOn w:val="885"/>
    <w:next w:val="885"/>
    <w:link w:val="1117"/>
    <w:uiPriority w:val="0"/>
    <w:qFormat/>
    <w:pPr>
      <w:keepLines/>
      <w:keepNext/>
      <w:spacing w:before="340" w:after="330" w:line="576" w:lineRule="auto"/>
      <w:outlineLvl w:val="0"/>
    </w:pPr>
    <w:rPr>
      <w:b/>
      <w:sz w:val="44"/>
      <w:szCs w:val="20"/>
    </w:rPr>
  </w:style>
  <w:style w:type="paragraph" w:styleId="1100" w:customStyle="1">
    <w:name w:val="标题 211"/>
    <w:basedOn w:val="885"/>
    <w:next w:val="885"/>
    <w:link w:val="1118"/>
    <w:uiPriority w:val="0"/>
    <w:qFormat/>
    <w:pPr>
      <w:keepLines/>
      <w:keepNext/>
      <w:spacing w:before="260" w:after="260" w:line="416" w:lineRule="auto"/>
      <w:outlineLvl w:val="1"/>
    </w:pPr>
    <w:rPr>
      <w:rFonts w:ascii="Arial" w:hAnsi="Arial" w:eastAsia="黑体"/>
      <w:b/>
      <w:bCs/>
      <w:sz w:val="32"/>
      <w:szCs w:val="32"/>
    </w:rPr>
  </w:style>
  <w:style w:type="paragraph" w:styleId="1101" w:customStyle="1">
    <w:name w:val="标题 311"/>
    <w:basedOn w:val="885"/>
    <w:next w:val="885"/>
    <w:link w:val="1119"/>
    <w:uiPriority w:val="0"/>
    <w:qFormat/>
    <w:pPr>
      <w:numPr>
        <w:ilvl w:val="2"/>
        <w:numId w:val="1"/>
      </w:numPr>
      <w:keepLines/>
      <w:keepNext/>
      <w:spacing w:before="120" w:after="120" w:line="300" w:lineRule="auto"/>
      <w:outlineLvl w:val="2"/>
    </w:pPr>
    <w:rPr>
      <w:b/>
      <w:bCs/>
      <w:sz w:val="30"/>
      <w:szCs w:val="32"/>
    </w:rPr>
  </w:style>
  <w:style w:type="paragraph" w:styleId="1102" w:customStyle="1">
    <w:name w:val="标题 41"/>
    <w:basedOn w:val="885"/>
    <w:next w:val="1103"/>
    <w:link w:val="1120"/>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03" w:customStyle="1">
    <w:name w:val="正文11"/>
    <w:next w:val="1104"/>
    <w:link w:val="1243"/>
    <w:uiPriority w:val="0"/>
    <w:qFormat/>
    <w:pPr>
      <w:jc w:val="both"/>
      <w:widowControl w:val="off"/>
    </w:pPr>
    <w:rPr>
      <w:rFonts w:ascii="Times New Roman" w:hAnsi="Times New Roman" w:eastAsia="宋体" w:cs="Times New Roman"/>
      <w:sz w:val="21"/>
      <w:szCs w:val="22"/>
      <w:lang w:val="en-US" w:eastAsia="zh-CN" w:bidi="ar-SA"/>
    </w:rPr>
  </w:style>
  <w:style w:type="paragraph" w:styleId="1104" w:customStyle="1">
    <w:name w:val="目录 11"/>
    <w:basedOn w:val="1103"/>
    <w:next w:val="1103"/>
    <w:uiPriority w:val="0"/>
    <w:qFormat/>
    <w:pPr>
      <w:spacing w:line="360" w:lineRule="auto"/>
      <w:tabs>
        <w:tab w:val="right" w:pos="9060" w:leader="dot"/>
      </w:tabs>
    </w:pPr>
    <w:rPr>
      <w:sz w:val="24"/>
      <w:szCs w:val="24"/>
    </w:rPr>
  </w:style>
  <w:style w:type="paragraph" w:styleId="1105" w:customStyle="1">
    <w:name w:val="文本块1"/>
    <w:basedOn w:val="1106"/>
    <w:next w:val="1102"/>
    <w:uiPriority w:val="0"/>
    <w:qFormat/>
    <w:pPr>
      <w:ind w:left="420" w:right="33"/>
      <w:jc w:val="left"/>
    </w:pPr>
    <w:rPr>
      <w:sz w:val="24"/>
      <w:szCs w:val="20"/>
    </w:rPr>
  </w:style>
  <w:style w:type="paragraph" w:styleId="1106" w:customStyle="1">
    <w:name w:val="正文1"/>
    <w:basedOn w:val="885"/>
    <w:next w:val="1107"/>
    <w:uiPriority w:val="0"/>
    <w:qFormat/>
    <w:pPr>
      <w:ind w:left="1260" w:firstLine="540"/>
      <w:spacing w:line="360" w:lineRule="auto"/>
    </w:pPr>
    <w:rPr>
      <w:rFonts w:ascii="宋体" w:hAnsi="宋体" w:cs="黑体"/>
      <w:szCs w:val="22"/>
    </w:rPr>
  </w:style>
  <w:style w:type="paragraph" w:styleId="1107" w:customStyle="1">
    <w:name w:val="标题 21"/>
    <w:basedOn w:val="1108"/>
    <w:next w:val="1103"/>
    <w:uiPriority w:val="0"/>
    <w:qFormat/>
    <w:pPr>
      <w:keepLines/>
      <w:keepNext/>
      <w:spacing w:before="260" w:after="260" w:line="416" w:lineRule="auto"/>
      <w:outlineLvl w:val="1"/>
    </w:pPr>
    <w:rPr>
      <w:rFonts w:ascii="Arial" w:hAnsi="Arial" w:eastAsia="黑体"/>
      <w:b/>
      <w:bCs/>
      <w:sz w:val="32"/>
      <w:szCs w:val="32"/>
    </w:rPr>
  </w:style>
  <w:style w:type="paragraph" w:styleId="1108" w:customStyle="1">
    <w:name w:val="正文12"/>
    <w:next w:val="1107"/>
    <w:uiPriority w:val="0"/>
    <w:qFormat/>
    <w:pPr>
      <w:jc w:val="both"/>
      <w:widowControl w:val="off"/>
    </w:pPr>
    <w:rPr>
      <w:rFonts w:ascii="Times New Roman" w:hAnsi="Times New Roman" w:eastAsia="宋体" w:cs="Times New Roman"/>
      <w:sz w:val="21"/>
      <w:szCs w:val="24"/>
      <w:lang w:val="en-US" w:eastAsia="zh-CN" w:bidi="ar-SA"/>
    </w:rPr>
  </w:style>
  <w:style w:type="paragraph" w:styleId="1109" w:customStyle="1">
    <w:name w:val="标题 51"/>
    <w:basedOn w:val="885"/>
    <w:next w:val="885"/>
    <w:link w:val="1121"/>
    <w:uiPriority w:val="0"/>
    <w:qFormat/>
    <w:pPr>
      <w:numPr>
        <w:ilvl w:val="4"/>
        <w:numId w:val="1"/>
      </w:numPr>
      <w:keepLines/>
      <w:keepNext/>
      <w:spacing w:before="280" w:after="290" w:line="376" w:lineRule="auto"/>
      <w:outlineLvl w:val="4"/>
    </w:pPr>
    <w:rPr>
      <w:b/>
      <w:bCs/>
      <w:sz w:val="28"/>
      <w:szCs w:val="28"/>
    </w:rPr>
  </w:style>
  <w:style w:type="paragraph" w:styleId="1110" w:customStyle="1">
    <w:name w:val="标题 611"/>
    <w:basedOn w:val="885"/>
    <w:next w:val="885"/>
    <w:link w:val="1122"/>
    <w:uiPriority w:val="0"/>
    <w:qFormat/>
    <w:pPr>
      <w:numPr>
        <w:ilvl w:val="5"/>
        <w:numId w:val="1"/>
      </w:numPr>
      <w:keepLines/>
      <w:keepNext/>
      <w:spacing w:before="240" w:after="64" w:line="320" w:lineRule="auto"/>
      <w:outlineLvl w:val="5"/>
    </w:pPr>
    <w:rPr>
      <w:rFonts w:ascii="Arial" w:hAnsi="Arial" w:eastAsia="黑体"/>
      <w:b/>
      <w:bCs/>
      <w:sz w:val="24"/>
    </w:rPr>
  </w:style>
  <w:style w:type="paragraph" w:styleId="1111" w:customStyle="1">
    <w:name w:val="标题 71"/>
    <w:basedOn w:val="885"/>
    <w:next w:val="885"/>
    <w:link w:val="1123"/>
    <w:uiPriority w:val="0"/>
    <w:qFormat/>
    <w:pPr>
      <w:numPr>
        <w:ilvl w:val="6"/>
        <w:numId w:val="1"/>
      </w:numPr>
      <w:keepLines/>
      <w:keepNext/>
      <w:spacing w:before="240" w:after="64" w:line="320" w:lineRule="auto"/>
      <w:outlineLvl w:val="6"/>
    </w:pPr>
    <w:rPr>
      <w:b/>
      <w:bCs/>
      <w:sz w:val="24"/>
    </w:rPr>
  </w:style>
  <w:style w:type="paragraph" w:styleId="1112" w:customStyle="1">
    <w:name w:val="标题 81"/>
    <w:basedOn w:val="885"/>
    <w:next w:val="885"/>
    <w:link w:val="1124"/>
    <w:uiPriority w:val="0"/>
    <w:qFormat/>
    <w:pPr>
      <w:numPr>
        <w:ilvl w:val="7"/>
        <w:numId w:val="1"/>
      </w:numPr>
      <w:keepLines/>
      <w:keepNext/>
      <w:spacing w:before="240" w:after="64" w:line="320" w:lineRule="auto"/>
      <w:outlineLvl w:val="7"/>
    </w:pPr>
    <w:rPr>
      <w:rFonts w:ascii="Arial" w:hAnsi="Arial" w:eastAsia="黑体"/>
      <w:sz w:val="24"/>
    </w:rPr>
  </w:style>
  <w:style w:type="paragraph" w:styleId="1113" w:customStyle="1">
    <w:name w:val="标题 91"/>
    <w:basedOn w:val="885"/>
    <w:next w:val="885"/>
    <w:link w:val="1125"/>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1114" w:customStyle="1">
    <w:name w:val="默认段落字体11"/>
    <w:uiPriority w:val="1"/>
    <w:unhideWhenUsed/>
    <w:qFormat/>
  </w:style>
  <w:style w:type="table" w:styleId="1115" w:customStyle="1">
    <w:name w:val="普通表格1"/>
    <w:uiPriority w:val="99"/>
    <w:unhideWhenUsed/>
    <w:qFormat/>
    <w:tblPr>
      <w:tblCellMar>
        <w:left w:w="0" w:type="dxa"/>
        <w:top w:w="0" w:type="dxa"/>
        <w:right w:w="0" w:type="dxa"/>
        <w:bottom w:w="0" w:type="dxa"/>
      </w:tblCellMar>
    </w:tblPr>
  </w:style>
  <w:style w:type="paragraph" w:styleId="1116" w:customStyle="1">
    <w:name w:val="标题二、"/>
    <w:basedOn w:val="885"/>
    <w:uiPriority w:val="99"/>
    <w:qFormat/>
    <w:pPr>
      <w:ind w:firstLine="200"/>
      <w:spacing w:line="360" w:lineRule="auto"/>
      <w:outlineLvl w:val="2"/>
    </w:pPr>
    <w:rPr>
      <w:b/>
    </w:rPr>
  </w:style>
  <w:style w:type="character" w:styleId="1117" w:customStyle="1">
    <w:name w:val="标题 1 Char"/>
    <w:link w:val="1099"/>
    <w:uiPriority w:val="0"/>
    <w:qFormat/>
    <w:rPr>
      <w:rFonts w:ascii="Times New Roman" w:hAnsi="Times New Roman" w:eastAsia="宋体" w:cs="Times New Roman"/>
      <w:b/>
      <w:sz w:val="44"/>
      <w:szCs w:val="20"/>
    </w:rPr>
  </w:style>
  <w:style w:type="character" w:styleId="1118" w:customStyle="1">
    <w:name w:val="标题 2 Char"/>
    <w:link w:val="1100"/>
    <w:uiPriority w:val="0"/>
    <w:qFormat/>
    <w:rPr>
      <w:rFonts w:ascii="Arial" w:hAnsi="Arial" w:eastAsia="黑体" w:cs="Times New Roman"/>
      <w:b/>
      <w:bCs/>
      <w:sz w:val="32"/>
      <w:szCs w:val="32"/>
    </w:rPr>
  </w:style>
  <w:style w:type="character" w:styleId="1119" w:customStyle="1">
    <w:name w:val="标题 3 Char"/>
    <w:link w:val="1101"/>
    <w:uiPriority w:val="0"/>
    <w:qFormat/>
    <w:rPr>
      <w:rFonts w:ascii="Times New Roman" w:hAnsi="Times New Roman" w:eastAsia="宋体" w:cs="Times New Roman"/>
      <w:b/>
      <w:bCs/>
      <w:sz w:val="30"/>
      <w:szCs w:val="32"/>
    </w:rPr>
  </w:style>
  <w:style w:type="character" w:styleId="1120" w:customStyle="1">
    <w:name w:val="标题 4 Char"/>
    <w:link w:val="1102"/>
    <w:uiPriority w:val="0"/>
    <w:qFormat/>
    <w:rPr>
      <w:rFonts w:ascii="Arial" w:hAnsi="Arial" w:eastAsia="黑体" w:cs="Times New Roman"/>
      <w:b/>
      <w:bCs/>
      <w:sz w:val="28"/>
      <w:szCs w:val="28"/>
    </w:rPr>
  </w:style>
  <w:style w:type="character" w:styleId="1121" w:customStyle="1">
    <w:name w:val="标题 5 Char"/>
    <w:link w:val="1109"/>
    <w:uiPriority w:val="0"/>
    <w:qFormat/>
    <w:rPr>
      <w:rFonts w:ascii="Times New Roman" w:hAnsi="Times New Roman" w:eastAsia="宋体" w:cs="Times New Roman"/>
      <w:b/>
      <w:bCs/>
      <w:sz w:val="28"/>
      <w:szCs w:val="28"/>
    </w:rPr>
  </w:style>
  <w:style w:type="character" w:styleId="1122" w:customStyle="1">
    <w:name w:val="标题 6 Char"/>
    <w:link w:val="1110"/>
    <w:uiPriority w:val="0"/>
    <w:qFormat/>
    <w:rPr>
      <w:rFonts w:ascii="Arial" w:hAnsi="Arial" w:eastAsia="黑体" w:cs="Times New Roman"/>
      <w:b/>
      <w:bCs/>
      <w:sz w:val="24"/>
      <w:szCs w:val="24"/>
    </w:rPr>
  </w:style>
  <w:style w:type="character" w:styleId="1123" w:customStyle="1">
    <w:name w:val="标题 7 Char"/>
    <w:link w:val="1111"/>
    <w:uiPriority w:val="0"/>
    <w:qFormat/>
    <w:rPr>
      <w:rFonts w:ascii="Times New Roman" w:hAnsi="Times New Roman" w:eastAsia="宋体" w:cs="Times New Roman"/>
      <w:b/>
      <w:bCs/>
      <w:sz w:val="24"/>
      <w:szCs w:val="24"/>
    </w:rPr>
  </w:style>
  <w:style w:type="character" w:styleId="1124" w:customStyle="1">
    <w:name w:val="标题 8 Char"/>
    <w:link w:val="1112"/>
    <w:uiPriority w:val="0"/>
    <w:qFormat/>
    <w:rPr>
      <w:rFonts w:ascii="Arial" w:hAnsi="Arial" w:eastAsia="黑体" w:cs="Times New Roman"/>
      <w:sz w:val="24"/>
      <w:szCs w:val="24"/>
    </w:rPr>
  </w:style>
  <w:style w:type="character" w:styleId="1125" w:customStyle="1">
    <w:name w:val="标题 9 Char"/>
    <w:link w:val="1113"/>
    <w:uiPriority w:val="0"/>
    <w:qFormat/>
    <w:rPr>
      <w:rFonts w:ascii="Arial" w:hAnsi="Arial" w:eastAsia="黑体" w:cs="Times New Roman"/>
      <w:szCs w:val="21"/>
    </w:rPr>
  </w:style>
  <w:style w:type="paragraph" w:styleId="1126" w:customStyle="1">
    <w:name w:val="列表 31"/>
    <w:basedOn w:val="885"/>
    <w:uiPriority w:val="0"/>
    <w:qFormat/>
    <w:pPr>
      <w:contextualSpacing/>
      <w:ind w:left="100" w:hanging="200"/>
    </w:pPr>
  </w:style>
  <w:style w:type="paragraph" w:styleId="1127" w:customStyle="1">
    <w:name w:val="注释标题1"/>
    <w:basedOn w:val="885"/>
    <w:next w:val="885"/>
    <w:link w:val="1128"/>
    <w:uiPriority w:val="0"/>
    <w:qFormat/>
    <w:pPr>
      <w:ind w:firstLine="480"/>
      <w:jc w:val="center"/>
      <w:spacing w:line="360" w:lineRule="auto"/>
    </w:pPr>
    <w:rPr>
      <w:sz w:val="20"/>
      <w:lang w:val="zh-CN"/>
    </w:rPr>
  </w:style>
  <w:style w:type="character" w:styleId="1128" w:customStyle="1">
    <w:name w:val="注释标题 Char"/>
    <w:link w:val="1127"/>
    <w:uiPriority w:val="0"/>
    <w:qFormat/>
    <w:rPr>
      <w:rFonts w:ascii="Times New Roman" w:hAnsi="Times New Roman" w:eastAsia="宋体" w:cs="Times New Roman"/>
      <w:szCs w:val="24"/>
      <w:lang w:val="zh-CN"/>
    </w:rPr>
  </w:style>
  <w:style w:type="paragraph" w:styleId="1129" w:customStyle="1">
    <w:name w:val="列表编号1"/>
    <w:basedOn w:val="885"/>
    <w:uiPriority w:val="0"/>
    <w:qFormat/>
    <w:pPr>
      <w:numPr>
        <w:ilvl w:val="0"/>
        <w:numId w:val="2"/>
      </w:numPr>
      <w:contextualSpacing/>
    </w:pPr>
  </w:style>
  <w:style w:type="paragraph" w:styleId="1130" w:customStyle="1">
    <w:name w:val="正文缩进1"/>
    <w:basedOn w:val="885"/>
    <w:next w:val="885"/>
    <w:link w:val="1131"/>
    <w:uiPriority w:val="0"/>
    <w:qFormat/>
    <w:pPr>
      <w:ind w:firstLine="420"/>
    </w:pPr>
    <w:rPr>
      <w:sz w:val="20"/>
    </w:rPr>
  </w:style>
  <w:style w:type="character" w:styleId="1131" w:customStyle="1">
    <w:name w:val="正文缩进 Char"/>
    <w:link w:val="1130"/>
    <w:uiPriority w:val="0"/>
    <w:qFormat/>
    <w:rPr>
      <w:rFonts w:ascii="Times New Roman" w:hAnsi="Times New Roman" w:eastAsia="宋体" w:cs="Times New Roman"/>
      <w:szCs w:val="24"/>
    </w:rPr>
  </w:style>
  <w:style w:type="paragraph" w:styleId="1132" w:customStyle="1">
    <w:name w:val="题注11"/>
    <w:basedOn w:val="885"/>
    <w:next w:val="885"/>
    <w:link w:val="1133"/>
    <w:uiPriority w:val="0"/>
    <w:qFormat/>
    <w:rPr>
      <w:rFonts w:ascii="Arial" w:hAnsi="Arial" w:eastAsia="黑体"/>
      <w:sz w:val="20"/>
      <w:szCs w:val="20"/>
    </w:rPr>
  </w:style>
  <w:style w:type="character" w:styleId="1133" w:customStyle="1">
    <w:name w:val="题注 Char"/>
    <w:link w:val="1132"/>
    <w:uiPriority w:val="0"/>
    <w:qFormat/>
    <w:rPr>
      <w:rFonts w:ascii="Arial" w:hAnsi="Arial" w:eastAsia="黑体" w:cs="Times New Roman"/>
      <w:sz w:val="20"/>
      <w:szCs w:val="20"/>
    </w:rPr>
  </w:style>
  <w:style w:type="paragraph" w:styleId="1134" w:customStyle="1">
    <w:name w:val="文档结构图1"/>
    <w:basedOn w:val="885"/>
    <w:link w:val="1135"/>
    <w:uiPriority w:val="0"/>
    <w:qFormat/>
    <w:pPr>
      <w:shd w:val="clear" w:color="auto" w:fill="000080"/>
    </w:pPr>
    <w:rPr>
      <w:sz w:val="20"/>
    </w:rPr>
  </w:style>
  <w:style w:type="character" w:styleId="1135" w:customStyle="1">
    <w:name w:val="文档结构图 Char"/>
    <w:link w:val="1134"/>
    <w:uiPriority w:val="0"/>
    <w:qFormat/>
    <w:rPr>
      <w:rFonts w:ascii="Times New Roman" w:hAnsi="Times New Roman" w:eastAsia="宋体" w:cs="Times New Roman"/>
      <w:szCs w:val="24"/>
      <w:shd w:val="clear" w:color="auto" w:fill="000080"/>
    </w:rPr>
  </w:style>
  <w:style w:type="paragraph" w:styleId="1136" w:customStyle="1">
    <w:name w:val="批注文字1"/>
    <w:basedOn w:val="885"/>
    <w:link w:val="1137"/>
    <w:uiPriority w:val="0"/>
    <w:qFormat/>
    <w:pPr>
      <w:jc w:val="left"/>
    </w:pPr>
    <w:rPr>
      <w:sz w:val="20"/>
    </w:rPr>
  </w:style>
  <w:style w:type="character" w:styleId="1137" w:customStyle="1">
    <w:name w:val="批注文字 Char"/>
    <w:link w:val="1136"/>
    <w:uiPriority w:val="0"/>
    <w:qFormat/>
    <w:rPr>
      <w:rFonts w:ascii="Times New Roman" w:hAnsi="Times New Roman" w:eastAsia="宋体" w:cs="Times New Roman"/>
      <w:szCs w:val="24"/>
    </w:rPr>
  </w:style>
  <w:style w:type="paragraph" w:styleId="1138" w:customStyle="1">
    <w:name w:val="正文文本 311"/>
    <w:basedOn w:val="885"/>
    <w:link w:val="1139"/>
    <w:uiPriority w:val="0"/>
    <w:qFormat/>
    <w:rPr>
      <w:rFonts w:ascii="宋体"/>
      <w:sz w:val="28"/>
      <w:szCs w:val="20"/>
    </w:rPr>
  </w:style>
  <w:style w:type="character" w:styleId="1139" w:customStyle="1">
    <w:name w:val="正文文本 3 Char"/>
    <w:link w:val="1138"/>
    <w:uiPriority w:val="0"/>
    <w:qFormat/>
    <w:rPr>
      <w:rFonts w:ascii="宋体" w:hAnsi="Times New Roman" w:eastAsia="宋体" w:cs="Times New Roman"/>
      <w:sz w:val="28"/>
      <w:szCs w:val="20"/>
    </w:rPr>
  </w:style>
  <w:style w:type="paragraph" w:styleId="1140" w:customStyle="1">
    <w:name w:val="正文文本1"/>
    <w:basedOn w:val="885"/>
    <w:next w:val="1141"/>
    <w:link w:val="1142"/>
    <w:uiPriority w:val="0"/>
    <w:qFormat/>
    <w:pPr>
      <w:jc w:val="left"/>
      <w:widowControl/>
    </w:pPr>
    <w:rPr>
      <w:sz w:val="20"/>
    </w:rPr>
  </w:style>
  <w:style w:type="paragraph" w:styleId="1141" w:customStyle="1">
    <w:name w:val="标题1"/>
    <w:basedOn w:val="885"/>
    <w:next w:val="885"/>
    <w:link w:val="1143"/>
    <w:uiPriority w:val="0"/>
    <w:qFormat/>
    <w:pPr>
      <w:jc w:val="center"/>
      <w:spacing w:before="240" w:after="60"/>
      <w:outlineLvl w:val="0"/>
    </w:pPr>
    <w:rPr>
      <w:rFonts w:ascii="Arial" w:hAnsi="Arial"/>
      <w:b/>
      <w:bCs/>
      <w:sz w:val="32"/>
      <w:szCs w:val="32"/>
    </w:rPr>
  </w:style>
  <w:style w:type="character" w:styleId="1142" w:customStyle="1">
    <w:name w:val="正文文本 Char"/>
    <w:link w:val="1140"/>
    <w:uiPriority w:val="0"/>
    <w:qFormat/>
    <w:rPr>
      <w:rFonts w:ascii="Times New Roman" w:hAnsi="Times New Roman" w:eastAsia="宋体" w:cs="Times New Roman"/>
      <w:szCs w:val="24"/>
    </w:rPr>
  </w:style>
  <w:style w:type="character" w:styleId="1143" w:customStyle="1">
    <w:name w:val="标题 Char"/>
    <w:link w:val="1141"/>
    <w:uiPriority w:val="0"/>
    <w:qFormat/>
    <w:rPr>
      <w:rFonts w:ascii="Arial" w:hAnsi="Arial" w:eastAsia="宋体" w:cs="Arial"/>
      <w:b/>
      <w:bCs/>
      <w:sz w:val="32"/>
      <w:szCs w:val="32"/>
    </w:rPr>
  </w:style>
  <w:style w:type="paragraph" w:styleId="1144" w:customStyle="1">
    <w:name w:val="正文文本缩进11"/>
    <w:basedOn w:val="885"/>
    <w:link w:val="1146"/>
    <w:uiPriority w:val="0"/>
    <w:qFormat/>
    <w:pPr>
      <w:ind w:firstLine="630"/>
    </w:pPr>
    <w:rPr>
      <w:sz w:val="20"/>
      <w:szCs w:val="20"/>
    </w:rPr>
  </w:style>
  <w:style w:type="paragraph" w:styleId="1145" w:customStyle="1">
    <w:name w:val="寄信人地址11"/>
    <w:basedOn w:val="885"/>
    <w:uiPriority w:val="99"/>
    <w:unhideWhenUsed/>
    <w:qFormat/>
    <w:rPr>
      <w:rFonts w:ascii="Arial" w:hAnsi="Arial"/>
    </w:rPr>
  </w:style>
  <w:style w:type="character" w:styleId="1146" w:customStyle="1">
    <w:name w:val="正文文本缩进 Char"/>
    <w:link w:val="1144"/>
    <w:uiPriority w:val="0"/>
    <w:qFormat/>
    <w:rPr>
      <w:rFonts w:ascii="Times New Roman" w:hAnsi="Times New Roman" w:eastAsia="宋体" w:cs="Times New Roman"/>
      <w:szCs w:val="20"/>
    </w:rPr>
  </w:style>
  <w:style w:type="paragraph" w:styleId="1147" w:customStyle="1">
    <w:name w:val="列表 21"/>
    <w:basedOn w:val="885"/>
    <w:uiPriority w:val="0"/>
    <w:qFormat/>
    <w:pPr>
      <w:ind w:left="100" w:hanging="200"/>
    </w:pPr>
    <w:rPr>
      <w:sz w:val="28"/>
    </w:rPr>
  </w:style>
  <w:style w:type="paragraph" w:styleId="1148" w:customStyle="1">
    <w:name w:val="文本块11"/>
    <w:basedOn w:val="885"/>
    <w:uiPriority w:val="0"/>
    <w:qFormat/>
    <w:pPr>
      <w:ind w:left="630" w:right="-609" w:firstLine="420"/>
      <w:jc w:val="left"/>
      <w:spacing w:line="360" w:lineRule="auto"/>
      <w:widowControl/>
    </w:pPr>
    <w:rPr>
      <w:rFonts w:hint="eastAsia" w:ascii="仿宋_GB2312" w:eastAsia="仿宋_GB2312"/>
      <w:sz w:val="24"/>
      <w:szCs w:val="20"/>
    </w:rPr>
  </w:style>
  <w:style w:type="paragraph" w:styleId="1149" w:customStyle="1">
    <w:name w:val="索引 41"/>
    <w:basedOn w:val="885"/>
    <w:next w:val="885"/>
    <w:uiPriority w:val="99"/>
    <w:unhideWhenUsed/>
    <w:qFormat/>
    <w:pPr>
      <w:ind w:left="600"/>
    </w:pPr>
    <w:rPr>
      <w:rFonts w:ascii="Calibri" w:hAnsi="Calibri"/>
      <w:szCs w:val="22"/>
    </w:rPr>
  </w:style>
  <w:style w:type="paragraph" w:styleId="1150" w:customStyle="1">
    <w:name w:val="目录 31"/>
    <w:basedOn w:val="885"/>
    <w:next w:val="885"/>
    <w:uiPriority w:val="0"/>
    <w:qFormat/>
    <w:pPr>
      <w:ind w:left="840"/>
    </w:pPr>
  </w:style>
  <w:style w:type="paragraph" w:styleId="1151" w:customStyle="1">
    <w:name w:val="纯文本1111"/>
    <w:basedOn w:val="885"/>
    <w:link w:val="1152"/>
    <w:uiPriority w:val="0"/>
    <w:qFormat/>
    <w:rPr>
      <w:rFonts w:ascii="宋体" w:hAnsi="Courier New"/>
      <w:sz w:val="24"/>
      <w:szCs w:val="20"/>
    </w:rPr>
  </w:style>
  <w:style w:type="character" w:styleId="1152" w:customStyle="1">
    <w:name w:val="纯文本 Char"/>
    <w:link w:val="1151"/>
    <w:uiPriority w:val="0"/>
    <w:qFormat/>
    <w:rPr>
      <w:rFonts w:ascii="宋体" w:hAnsi="Courier New" w:eastAsia="宋体" w:cs="Times New Roman"/>
      <w:sz w:val="24"/>
      <w:szCs w:val="20"/>
    </w:rPr>
  </w:style>
  <w:style w:type="paragraph" w:styleId="1153" w:customStyle="1">
    <w:name w:val="日期1"/>
    <w:basedOn w:val="885"/>
    <w:next w:val="885"/>
    <w:link w:val="1154"/>
    <w:uiPriority w:val="0"/>
    <w:qFormat/>
    <w:pPr>
      <w:ind w:left="100"/>
    </w:pPr>
    <w:rPr>
      <w:rFonts w:ascii="宋体" w:hAnsi="宋体"/>
      <w:b/>
      <w:bCs/>
      <w:sz w:val="30"/>
      <w:szCs w:val="20"/>
    </w:rPr>
  </w:style>
  <w:style w:type="character" w:styleId="1154" w:customStyle="1">
    <w:name w:val="日期 Char"/>
    <w:link w:val="1153"/>
    <w:uiPriority w:val="0"/>
    <w:qFormat/>
    <w:rPr>
      <w:rFonts w:ascii="宋体" w:hAnsi="宋体" w:eastAsia="宋体" w:cs="Times New Roman"/>
      <w:b/>
      <w:bCs/>
      <w:sz w:val="30"/>
      <w:szCs w:val="20"/>
    </w:rPr>
  </w:style>
  <w:style w:type="paragraph" w:styleId="1155" w:customStyle="1">
    <w:name w:val="正文文本缩进 21"/>
    <w:basedOn w:val="885"/>
    <w:link w:val="1156"/>
    <w:uiPriority w:val="0"/>
    <w:qFormat/>
    <w:pPr>
      <w:ind w:left="420"/>
      <w:spacing w:after="120" w:line="480" w:lineRule="auto"/>
    </w:pPr>
    <w:rPr>
      <w:sz w:val="20"/>
      <w:szCs w:val="20"/>
    </w:rPr>
  </w:style>
  <w:style w:type="character" w:styleId="1156" w:customStyle="1">
    <w:name w:val="正文文本缩进 2 Char"/>
    <w:link w:val="1155"/>
    <w:uiPriority w:val="0"/>
    <w:qFormat/>
    <w:rPr>
      <w:rFonts w:ascii="Times New Roman" w:hAnsi="Times New Roman" w:eastAsia="宋体" w:cs="Times New Roman"/>
      <w:szCs w:val="20"/>
    </w:rPr>
  </w:style>
  <w:style w:type="paragraph" w:styleId="1157" w:customStyle="1">
    <w:name w:val="批注框文本1"/>
    <w:basedOn w:val="885"/>
    <w:link w:val="1158"/>
    <w:uiPriority w:val="0"/>
    <w:qFormat/>
    <w:rPr>
      <w:sz w:val="18"/>
      <w:szCs w:val="18"/>
    </w:rPr>
  </w:style>
  <w:style w:type="character" w:styleId="1158" w:customStyle="1">
    <w:name w:val="批注框文本 Char"/>
    <w:link w:val="1157"/>
    <w:uiPriority w:val="0"/>
    <w:qFormat/>
    <w:rPr>
      <w:rFonts w:ascii="Times New Roman" w:hAnsi="Times New Roman" w:eastAsia="宋体" w:cs="Times New Roman"/>
      <w:sz w:val="18"/>
      <w:szCs w:val="18"/>
    </w:rPr>
  </w:style>
  <w:style w:type="paragraph" w:styleId="1159" w:customStyle="1">
    <w:name w:val="页脚11"/>
    <w:basedOn w:val="885"/>
    <w:link w:val="1160"/>
    <w:uiPriority w:val="99"/>
    <w:qFormat/>
    <w:pPr>
      <w:jc w:val="left"/>
      <w:tabs>
        <w:tab w:val="center" w:pos="4153" w:leader="none"/>
        <w:tab w:val="right" w:pos="8306" w:leader="none"/>
      </w:tabs>
    </w:pPr>
    <w:rPr>
      <w:sz w:val="18"/>
      <w:szCs w:val="20"/>
    </w:rPr>
  </w:style>
  <w:style w:type="character" w:styleId="1160" w:customStyle="1">
    <w:name w:val="页脚 Char"/>
    <w:link w:val="1159"/>
    <w:uiPriority w:val="99"/>
    <w:qFormat/>
    <w:rPr>
      <w:rFonts w:ascii="Times New Roman" w:hAnsi="Times New Roman" w:eastAsia="宋体" w:cs="Times New Roman"/>
      <w:sz w:val="18"/>
      <w:szCs w:val="20"/>
    </w:rPr>
  </w:style>
  <w:style w:type="paragraph" w:styleId="1161" w:customStyle="1">
    <w:name w:val="页眉11"/>
    <w:basedOn w:val="885"/>
    <w:link w:val="1162"/>
    <w:uiPriority w:val="99"/>
    <w:qFormat/>
    <w:pPr>
      <w:jc w:val="center"/>
      <w:tabs>
        <w:tab w:val="center" w:pos="4153" w:leader="none"/>
        <w:tab w:val="right" w:pos="8306" w:leader="none"/>
      </w:tabs>
      <w:pBdr>
        <w:bottom w:val="single" w:color="000000" w:sz="6" w:space="1"/>
      </w:pBdr>
    </w:pPr>
    <w:rPr>
      <w:sz w:val="18"/>
      <w:szCs w:val="18"/>
    </w:rPr>
  </w:style>
  <w:style w:type="character" w:styleId="1162" w:customStyle="1">
    <w:name w:val="页眉 Char"/>
    <w:link w:val="1161"/>
    <w:uiPriority w:val="99"/>
    <w:qFormat/>
    <w:rPr>
      <w:rFonts w:ascii="Times New Roman" w:hAnsi="Times New Roman" w:eastAsia="宋体" w:cs="Times New Roman"/>
      <w:sz w:val="18"/>
      <w:szCs w:val="18"/>
    </w:rPr>
  </w:style>
  <w:style w:type="paragraph" w:styleId="1163" w:customStyle="1">
    <w:name w:val="目录 111"/>
    <w:basedOn w:val="885"/>
    <w:next w:val="885"/>
    <w:uiPriority w:val="0"/>
    <w:qFormat/>
    <w:pPr>
      <w:spacing w:line="360" w:lineRule="auto"/>
      <w:tabs>
        <w:tab w:val="right" w:pos="9060" w:leader="dot"/>
      </w:tabs>
    </w:pPr>
  </w:style>
  <w:style w:type="paragraph" w:styleId="1164" w:customStyle="1">
    <w:name w:val="副标题1"/>
    <w:basedOn w:val="885"/>
    <w:next w:val="885"/>
    <w:link w:val="1165"/>
    <w:uiPriority w:val="0"/>
    <w:qFormat/>
    <w:pPr>
      <w:jc w:val="center"/>
      <w:spacing w:after="60"/>
      <w:widowControl/>
      <w:outlineLvl w:val="1"/>
    </w:pPr>
    <w:rPr>
      <w:rFonts w:ascii="Arial" w:hAnsi="Arial" w:eastAsia="黑体"/>
      <w:sz w:val="24"/>
      <w:lang w:eastAsia="en-US"/>
    </w:rPr>
  </w:style>
  <w:style w:type="character" w:styleId="1165" w:customStyle="1">
    <w:name w:val="副标题 Char"/>
    <w:link w:val="1164"/>
    <w:uiPriority w:val="0"/>
    <w:qFormat/>
    <w:rPr>
      <w:rFonts w:ascii="Arial" w:hAnsi="Arial" w:eastAsia="黑体" w:cs="Times New Roman"/>
      <w:sz w:val="24"/>
      <w:szCs w:val="24"/>
      <w:lang w:eastAsia="en-US"/>
    </w:rPr>
  </w:style>
  <w:style w:type="paragraph" w:styleId="1166" w:customStyle="1">
    <w:name w:val="正文文本缩进 31"/>
    <w:basedOn w:val="885"/>
    <w:link w:val="1167"/>
    <w:uiPriority w:val="0"/>
    <w:qFormat/>
    <w:pPr>
      <w:ind w:left="720"/>
    </w:pPr>
    <w:rPr>
      <w:sz w:val="20"/>
      <w:szCs w:val="20"/>
    </w:rPr>
  </w:style>
  <w:style w:type="character" w:styleId="1167" w:customStyle="1">
    <w:name w:val="正文文本缩进 3 Char"/>
    <w:link w:val="1166"/>
    <w:uiPriority w:val="0"/>
    <w:qFormat/>
    <w:rPr>
      <w:rFonts w:ascii="Times New Roman" w:hAnsi="Times New Roman" w:eastAsia="宋体" w:cs="Times New Roman"/>
      <w:szCs w:val="20"/>
    </w:rPr>
  </w:style>
  <w:style w:type="paragraph" w:styleId="1168" w:customStyle="1">
    <w:name w:val="目录 21"/>
    <w:basedOn w:val="885"/>
    <w:next w:val="885"/>
    <w:uiPriority w:val="0"/>
    <w:qFormat/>
    <w:pPr>
      <w:ind w:left="420"/>
      <w:tabs>
        <w:tab w:val="right" w:pos="9060" w:leader="dot"/>
      </w:tabs>
    </w:pPr>
  </w:style>
  <w:style w:type="paragraph" w:styleId="1169" w:customStyle="1">
    <w:name w:val="正文文本 21"/>
    <w:basedOn w:val="885"/>
    <w:link w:val="1170"/>
    <w:uiPriority w:val="0"/>
    <w:qFormat/>
    <w:pPr>
      <w:jc w:val="left"/>
      <w:widowControl/>
    </w:pPr>
    <w:rPr>
      <w:sz w:val="20"/>
    </w:rPr>
  </w:style>
  <w:style w:type="character" w:styleId="1170" w:customStyle="1">
    <w:name w:val="正文文本 2 Char"/>
    <w:link w:val="1169"/>
    <w:uiPriority w:val="0"/>
    <w:qFormat/>
    <w:rPr>
      <w:rFonts w:ascii="Times New Roman" w:hAnsi="Times New Roman" w:eastAsia="宋体" w:cs="Times New Roman"/>
      <w:szCs w:val="24"/>
    </w:rPr>
  </w:style>
  <w:style w:type="paragraph" w:styleId="1171" w:customStyle="1">
    <w:name w:val="列表接续 21"/>
    <w:basedOn w:val="885"/>
    <w:uiPriority w:val="0"/>
    <w:qFormat/>
    <w:pPr>
      <w:contextualSpacing/>
      <w:ind w:left="840"/>
      <w:spacing w:after="120"/>
    </w:pPr>
  </w:style>
  <w:style w:type="paragraph" w:styleId="1172" w:customStyle="1">
    <w:name w:val="信息标题1"/>
    <w:basedOn w:val="885"/>
    <w:link w:val="1173"/>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173" w:customStyle="1">
    <w:name w:val="信息标题 Char"/>
    <w:link w:val="1172"/>
    <w:uiPriority w:val="0"/>
    <w:qFormat/>
    <w:rPr>
      <w:rFonts w:ascii="Arial" w:hAnsi="Arial" w:eastAsia="宋体" w:cs="Times New Roman"/>
      <w:sz w:val="24"/>
      <w:szCs w:val="24"/>
      <w:shd w:val="pct20" w:color="auto" w:fill="auto"/>
    </w:rPr>
  </w:style>
  <w:style w:type="paragraph" w:styleId="1174" w:customStyle="1">
    <w:name w:val="普通(网站)1"/>
    <w:basedOn w:val="885"/>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175" w:customStyle="1">
    <w:name w:val="索引 11"/>
    <w:basedOn w:val="885"/>
    <w:next w:val="885"/>
    <w:uiPriority w:val="0"/>
    <w:qFormat/>
    <w:pPr>
      <w:spacing w:line="280" w:lineRule="exact"/>
    </w:pPr>
    <w:rPr>
      <w:color w:val="ff0000"/>
    </w:rPr>
  </w:style>
  <w:style w:type="paragraph" w:styleId="1176" w:customStyle="1">
    <w:name w:val="索引 21"/>
    <w:basedOn w:val="885"/>
    <w:next w:val="885"/>
    <w:uiPriority w:val="0"/>
    <w:qFormat/>
    <w:pPr>
      <w:ind w:left="200"/>
    </w:pPr>
    <w:rPr>
      <w:szCs w:val="21"/>
    </w:rPr>
  </w:style>
  <w:style w:type="paragraph" w:styleId="1177" w:customStyle="1">
    <w:name w:val="批注主题1"/>
    <w:basedOn w:val="1136"/>
    <w:next w:val="1136"/>
    <w:link w:val="1178"/>
    <w:uiPriority w:val="0"/>
    <w:qFormat/>
    <w:rPr>
      <w:b/>
      <w:bCs/>
      <w:szCs w:val="20"/>
    </w:rPr>
  </w:style>
  <w:style w:type="character" w:styleId="1178" w:customStyle="1">
    <w:name w:val="批注主题 Char"/>
    <w:link w:val="1177"/>
    <w:uiPriority w:val="0"/>
    <w:qFormat/>
    <w:rPr>
      <w:b/>
      <w:bCs/>
    </w:rPr>
  </w:style>
  <w:style w:type="paragraph" w:styleId="1179" w:customStyle="1">
    <w:name w:val="正文首行缩进1"/>
    <w:basedOn w:val="1140"/>
    <w:next w:val="885"/>
    <w:link w:val="1180"/>
    <w:uiPriority w:val="0"/>
    <w:qFormat/>
    <w:pPr>
      <w:ind w:firstLine="420"/>
      <w:jc w:val="both"/>
      <w:spacing w:after="120"/>
      <w:widowControl w:val="off"/>
    </w:pPr>
  </w:style>
  <w:style w:type="character" w:styleId="1180" w:customStyle="1">
    <w:name w:val="正文首行缩进 Char"/>
    <w:link w:val="1179"/>
    <w:uiPriority w:val="0"/>
    <w:qFormat/>
  </w:style>
  <w:style w:type="paragraph" w:styleId="1181" w:customStyle="1">
    <w:name w:val="正文首行缩进 211"/>
    <w:basedOn w:val="1144"/>
    <w:next w:val="885"/>
    <w:link w:val="1182"/>
    <w:uiPriority w:val="0"/>
    <w:unhideWhenUsed/>
    <w:qFormat/>
    <w:pPr>
      <w:ind w:left="420" w:firstLine="420"/>
      <w:spacing w:after="120"/>
    </w:pPr>
    <w:rPr>
      <w:szCs w:val="24"/>
    </w:rPr>
  </w:style>
  <w:style w:type="character" w:styleId="1182" w:customStyle="1">
    <w:name w:val="正文首行缩进 2 Char"/>
    <w:link w:val="1181"/>
    <w:uiPriority w:val="0"/>
    <w:semiHidden/>
    <w:qFormat/>
    <w:rPr>
      <w:szCs w:val="24"/>
    </w:rPr>
  </w:style>
  <w:style w:type="table" w:styleId="1183" w:customStyle="1">
    <w:name w:val="网格型1"/>
    <w:basedOn w:val="1115"/>
    <w:uiPriority w:val="59"/>
    <w:qFormat/>
    <w:pPr>
      <w:jc w:val="both"/>
      <w:widowControl w:val="off"/>
    </w:pPr>
    <w:tblPr>
      <w:tblCellMar>
        <w:left w:w="0" w:type="dxa"/>
        <w:top w:w="0" w:type="dxa"/>
        <w:right w:w="0" w:type="dxa"/>
        <w:bottom w:w="0" w:type="dxa"/>
      </w:tblCellMar>
    </w:tblPr>
  </w:style>
  <w:style w:type="character" w:styleId="1184" w:customStyle="1">
    <w:name w:val="要点1"/>
    <w:uiPriority w:val="22"/>
    <w:qFormat/>
    <w:rPr>
      <w:b/>
    </w:rPr>
  </w:style>
  <w:style w:type="character" w:styleId="1185" w:customStyle="1">
    <w:name w:val="页码11"/>
    <w:uiPriority w:val="0"/>
    <w:qFormat/>
  </w:style>
  <w:style w:type="character" w:styleId="1186" w:customStyle="1">
    <w:name w:val="已访问的超链接1"/>
    <w:uiPriority w:val="99"/>
    <w:qFormat/>
    <w:rPr>
      <w:color w:val="800080"/>
      <w:u w:val="none"/>
    </w:rPr>
  </w:style>
  <w:style w:type="character" w:styleId="1187" w:customStyle="1">
    <w:name w:val="强调1"/>
    <w:uiPriority w:val="0"/>
    <w:qFormat/>
    <w:rPr>
      <w:rFonts w:ascii="Arial" w:hAnsi="Arial" w:cs="Times New Roman"/>
      <w:b/>
      <w:i/>
      <w:iCs/>
    </w:rPr>
  </w:style>
  <w:style w:type="character" w:styleId="1188" w:customStyle="1">
    <w:name w:val="超链接1"/>
    <w:basedOn w:val="1189"/>
    <w:uiPriority w:val="99"/>
    <w:qFormat/>
    <w:rPr>
      <w:color w:val="0000ff"/>
      <w:u w:val="none"/>
    </w:rPr>
  </w:style>
  <w:style w:type="character" w:styleId="1189" w:customStyle="1">
    <w:name w:val="默认段落字体1"/>
    <w:uiPriority w:val="0"/>
    <w:qFormat/>
  </w:style>
  <w:style w:type="character" w:styleId="1190" w:customStyle="1">
    <w:name w:val="批注引用1"/>
    <w:uiPriority w:val="0"/>
    <w:qFormat/>
    <w:rPr>
      <w:sz w:val="21"/>
      <w:szCs w:val="21"/>
    </w:rPr>
  </w:style>
  <w:style w:type="character" w:styleId="1191" w:customStyle="1">
    <w:name w:val="正文文本 2 Char1"/>
    <w:uiPriority w:val="0"/>
    <w:qFormat/>
    <w:rPr>
      <w:rFonts w:ascii="Arial" w:hAnsi="Arial" w:eastAsia="宋体" w:cs="Times New Roman"/>
      <w:color w:val="ff00ff"/>
      <w:sz w:val="28"/>
      <w:szCs w:val="24"/>
      <w:lang w:eastAsia="en-US"/>
    </w:rPr>
  </w:style>
  <w:style w:type="paragraph" w:styleId="1192" w:customStyle="1">
    <w:name w:val="首行缩进"/>
    <w:basedOn w:val="1103"/>
    <w:uiPriority w:val="0"/>
    <w:qFormat/>
    <w:pPr>
      <w:ind w:firstLine="480"/>
    </w:pPr>
    <w:rPr>
      <w:szCs w:val="20"/>
      <w:lang w:val="zh-CN"/>
    </w:rPr>
  </w:style>
  <w:style w:type="paragraph" w:styleId="1193" w:customStyle="1">
    <w:name w:val="段"/>
    <w:next w:val="885"/>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1194" w:customStyle="1">
    <w:name w:val="标题 Char1"/>
    <w:uiPriority w:val="0"/>
    <w:qFormat/>
    <w:rPr>
      <w:rFonts w:ascii="Cambria" w:hAnsi="Cambria" w:cs="Times New Roman"/>
      <w:b/>
      <w:bCs/>
      <w:sz w:val="32"/>
      <w:szCs w:val="32"/>
    </w:rPr>
  </w:style>
  <w:style w:type="character" w:styleId="1195" w:customStyle="1">
    <w:name w:val="正文文本_"/>
    <w:link w:val="1196"/>
    <w:uiPriority w:val="0"/>
    <w:qFormat/>
    <w:rPr>
      <w:rFonts w:ascii="MingLiU" w:hAnsi="MingLiU" w:eastAsia="MingLiU" w:cs="MingLiU"/>
      <w:spacing w:val="10"/>
      <w:sz w:val="30"/>
      <w:szCs w:val="30"/>
      <w:shd w:val="clear" w:color="auto" w:fill="ffffff"/>
    </w:rPr>
  </w:style>
  <w:style w:type="paragraph" w:styleId="1196" w:customStyle="1">
    <w:name w:val="正文文本4"/>
    <w:basedOn w:val="885"/>
    <w:link w:val="1195"/>
    <w:uiPriority w:val="0"/>
    <w:qFormat/>
    <w:pPr>
      <w:spacing w:line="630" w:lineRule="exact"/>
      <w:shd w:val="clear" w:color="auto" w:fill="ffffff"/>
    </w:pPr>
    <w:rPr>
      <w:rFonts w:ascii="MingLiU" w:hAnsi="MingLiU" w:eastAsia="MingLiU"/>
      <w:spacing w:val="10"/>
      <w:sz w:val="30"/>
      <w:szCs w:val="30"/>
    </w:rPr>
  </w:style>
  <w:style w:type="character" w:styleId="1197" w:customStyle="1">
    <w:name w:val="Quote Char"/>
    <w:link w:val="1198"/>
    <w:uiPriority w:val="0"/>
    <w:qFormat/>
    <w:rPr>
      <w:i/>
      <w:sz w:val="24"/>
      <w:szCs w:val="24"/>
      <w:lang w:eastAsia="en-US"/>
    </w:rPr>
  </w:style>
  <w:style w:type="paragraph" w:styleId="1198" w:customStyle="1">
    <w:name w:val="引用1"/>
    <w:basedOn w:val="885"/>
    <w:next w:val="885"/>
    <w:link w:val="1197"/>
    <w:uiPriority w:val="0"/>
    <w:qFormat/>
    <w:pPr>
      <w:jc w:val="left"/>
      <w:widowControl/>
    </w:pPr>
    <w:rPr>
      <w:i/>
      <w:sz w:val="24"/>
      <w:lang w:eastAsia="en-US"/>
    </w:rPr>
  </w:style>
  <w:style w:type="character" w:styleId="1199" w:customStyle="1">
    <w:name w:val="Char Char5"/>
    <w:uiPriority w:val="0"/>
    <w:qFormat/>
    <w:rPr>
      <w:rFonts w:ascii="宋体" w:hAnsi="Courier New" w:eastAsia="宋体" w:cs="Courier New"/>
      <w:sz w:val="21"/>
      <w:szCs w:val="21"/>
      <w:lang w:val="en-US" w:eastAsia="zh-CN" w:bidi="ar-SA"/>
    </w:rPr>
  </w:style>
  <w:style w:type="character" w:styleId="1200" w:customStyle="1">
    <w:name w:val="不明显强调1"/>
    <w:uiPriority w:val="0"/>
    <w:qFormat/>
    <w:rPr>
      <w:i/>
      <w:color w:val="5a5a5a"/>
    </w:rPr>
  </w:style>
  <w:style w:type="character" w:styleId="1201" w:customStyle="1">
    <w:name w:val="明显参考1"/>
    <w:uiPriority w:val="0"/>
    <w:qFormat/>
    <w:rPr>
      <w:rFonts w:cs="Times New Roman"/>
      <w:b/>
      <w:sz w:val="24"/>
      <w:u w:val="single"/>
    </w:rPr>
  </w:style>
  <w:style w:type="character" w:styleId="1202" w:customStyle="1">
    <w:name w:val="正文文本11"/>
    <w:uiPriority w:val="0"/>
    <w:qFormat/>
    <w:rPr>
      <w:rFonts w:ascii="MingLiU" w:hAnsi="MingLiU" w:eastAsia="MingLiU" w:cs="MingLiU"/>
      <w:color w:val="000000"/>
      <w:spacing w:val="10"/>
      <w:position w:val="0"/>
      <w:sz w:val="30"/>
      <w:szCs w:val="30"/>
      <w:shd w:val="clear" w:color="auto" w:fill="ffffff"/>
      <w:lang w:val="zh-CN" w:eastAsia="zh-CN" w:bidi="zh-CN"/>
    </w:rPr>
  </w:style>
  <w:style w:type="character" w:styleId="1203" w:customStyle="1">
    <w:name w:val="副标题 Char1"/>
    <w:uiPriority w:val="0"/>
    <w:qFormat/>
    <w:rPr>
      <w:rFonts w:ascii="Cambria" w:hAnsi="Cambria" w:cs="Times New Roman"/>
      <w:b/>
      <w:bCs/>
      <w:sz w:val="32"/>
      <w:szCs w:val="32"/>
    </w:rPr>
  </w:style>
  <w:style w:type="character" w:styleId="1204" w:customStyle="1">
    <w:name w:val="明显强调1"/>
    <w:uiPriority w:val="0"/>
    <w:qFormat/>
    <w:rPr>
      <w:rFonts w:cs="Times New Roman"/>
      <w:b/>
      <w:i/>
      <w:sz w:val="24"/>
      <w:szCs w:val="24"/>
      <w:u w:val="single"/>
    </w:rPr>
  </w:style>
  <w:style w:type="character" w:styleId="1205" w:customStyle="1">
    <w:name w:val="书籍标题1"/>
    <w:uiPriority w:val="0"/>
    <w:qFormat/>
    <w:rPr>
      <w:rFonts w:ascii="Arial" w:hAnsi="Arial" w:eastAsia="黑体" w:cs="Times New Roman"/>
      <w:b/>
      <w:i/>
      <w:sz w:val="24"/>
      <w:szCs w:val="24"/>
    </w:rPr>
  </w:style>
  <w:style w:type="character" w:styleId="1206" w:customStyle="1">
    <w:name w:val="f141"/>
    <w:uiPriority w:val="0"/>
    <w:qFormat/>
    <w:rPr>
      <w:sz w:val="21"/>
      <w:szCs w:val="21"/>
    </w:rPr>
  </w:style>
  <w:style w:type="character" w:styleId="1207" w:customStyle="1">
    <w:name w:val="普通文字1 Char"/>
    <w:uiPriority w:val="0"/>
    <w:qFormat/>
    <w:rPr>
      <w:rFonts w:ascii="宋体" w:hAnsi="Courier New" w:eastAsia="宋体"/>
      <w:sz w:val="21"/>
      <w:lang w:val="en-US" w:eastAsia="zh-CN" w:bidi="ar-SA"/>
    </w:rPr>
  </w:style>
  <w:style w:type="character" w:styleId="1208" w:customStyle="1">
    <w:name w:val="Style Heading 1H1SAHeading 1卷标题h1标书1L1boc1st levelSection ... Char"/>
    <w:link w:val="1209"/>
    <w:uiPriority w:val="0"/>
    <w:qFormat/>
    <w:rPr>
      <w:rFonts w:ascii="Arial" w:hAnsi="Arial" w:eastAsia="黑体" w:cs="Arial"/>
      <w:b/>
      <w:bCs/>
      <w:sz w:val="28"/>
      <w:szCs w:val="28"/>
    </w:rPr>
  </w:style>
  <w:style w:type="paragraph" w:styleId="1209" w:customStyle="1">
    <w:name w:val="Style Heading 1H1SAHeading 1卷标题h1标书1L1boc1st levelSection ..."/>
    <w:basedOn w:val="1099"/>
    <w:link w:val="1208"/>
    <w:uiPriority w:val="0"/>
    <w:qFormat/>
    <w:pPr>
      <w:ind w:left="432" w:hanging="432"/>
      <w:jc w:val="center"/>
      <w:spacing w:line="360" w:lineRule="auto"/>
      <w:tabs>
        <w:tab w:val="left" w:pos="1080" w:leader="none"/>
      </w:tabs>
    </w:pPr>
    <w:rPr>
      <w:rFonts w:ascii="Arial" w:hAnsi="Arial" w:eastAsia="黑体"/>
      <w:bCs/>
      <w:sz w:val="28"/>
      <w:szCs w:val="28"/>
    </w:rPr>
  </w:style>
  <w:style w:type="character" w:styleId="1210" w:customStyle="1">
    <w:name w:val="Intense Quote Char"/>
    <w:link w:val="1211"/>
    <w:uiPriority w:val="0"/>
    <w:qFormat/>
    <w:rPr>
      <w:b/>
      <w:i/>
      <w:sz w:val="24"/>
      <w:lang w:eastAsia="en-US"/>
    </w:rPr>
  </w:style>
  <w:style w:type="paragraph" w:styleId="1211" w:customStyle="1">
    <w:name w:val="明显引用1"/>
    <w:basedOn w:val="885"/>
    <w:next w:val="885"/>
    <w:link w:val="1210"/>
    <w:uiPriority w:val="0"/>
    <w:qFormat/>
    <w:pPr>
      <w:ind w:left="720" w:right="720"/>
      <w:jc w:val="left"/>
      <w:widowControl/>
    </w:pPr>
    <w:rPr>
      <w:b/>
      <w:i/>
      <w:sz w:val="24"/>
      <w:szCs w:val="20"/>
      <w:lang w:eastAsia="en-US"/>
    </w:rPr>
  </w:style>
  <w:style w:type="character" w:styleId="1212" w:customStyle="1">
    <w:name w:val="不明显参考1"/>
    <w:uiPriority w:val="0"/>
    <w:qFormat/>
    <w:rPr>
      <w:rFonts w:cs="Times New Roman"/>
      <w:sz w:val="24"/>
      <w:szCs w:val="24"/>
      <w:u w:val="single"/>
    </w:rPr>
  </w:style>
  <w:style w:type="paragraph" w:styleId="1213" w:customStyle="1">
    <w:name w:val="默认段落字体 Para Char Char Char Char Char Char Char Char Char1 Char Char Char Char"/>
    <w:basedOn w:val="885"/>
    <w:uiPriority w:val="0"/>
    <w:qFormat/>
    <w:rPr>
      <w:rFonts w:ascii="Tahoma" w:hAnsi="Tahoma"/>
      <w:sz w:val="24"/>
      <w:szCs w:val="20"/>
    </w:rPr>
  </w:style>
  <w:style w:type="paragraph" w:styleId="1214" w:customStyle="1">
    <w:name w:val="Char Char Char Char Char Char Char Char Char1 Char"/>
    <w:basedOn w:val="1134"/>
    <w:uiPriority w:val="0"/>
    <w:qFormat/>
    <w:pPr>
      <w:spacing w:line="360" w:lineRule="auto"/>
    </w:pPr>
    <w:rPr>
      <w:szCs w:val="20"/>
    </w:rPr>
  </w:style>
  <w:style w:type="paragraph" w:styleId="1215" w:customStyle="1">
    <w:name w:val="普通正文"/>
    <w:basedOn w:val="885"/>
    <w:uiPriority w:val="0"/>
    <w:qFormat/>
    <w:pPr>
      <w:ind w:firstLine="480"/>
      <w:jc w:val="left"/>
      <w:spacing w:before="120" w:after="120" w:line="360" w:lineRule="auto"/>
    </w:pPr>
    <w:rPr>
      <w:rFonts w:ascii="Arial" w:hAnsi="Arial"/>
      <w:sz w:val="24"/>
    </w:rPr>
  </w:style>
  <w:style w:type="paragraph" w:styleId="1216" w:customStyle="1">
    <w:name w:val="样式1"/>
    <w:basedOn w:val="1099"/>
    <w:uiPriority w:val="0"/>
    <w:qFormat/>
    <w:pPr>
      <w:keepLines w:val="0"/>
      <w:spacing w:before="0" w:after="0" w:line="240" w:lineRule="auto"/>
    </w:pPr>
    <w:rPr>
      <w:bCs/>
      <w:szCs w:val="24"/>
    </w:rPr>
  </w:style>
  <w:style w:type="paragraph" w:styleId="1217" w:customStyle="1">
    <w:name w:val="Char Char"/>
    <w:basedOn w:val="885"/>
    <w:uiPriority w:val="0"/>
    <w:qFormat/>
    <w:rPr>
      <w:rFonts w:ascii="Tahoma" w:hAnsi="Tahoma"/>
      <w:sz w:val="24"/>
      <w:szCs w:val="20"/>
    </w:rPr>
  </w:style>
  <w:style w:type="paragraph" w:styleId="1218" w:customStyle="1">
    <w:name w:val="Char Char1"/>
    <w:basedOn w:val="885"/>
    <w:uiPriority w:val="0"/>
    <w:qFormat/>
    <w:pPr>
      <w:jc w:val="left"/>
      <w:spacing w:after="160" w:line="240" w:lineRule="exact"/>
      <w:widowControl/>
    </w:pPr>
    <w:rPr>
      <w:rFonts w:ascii="Verdana" w:hAnsi="Verdana" w:eastAsia="仿宋_GB2312"/>
      <w:sz w:val="24"/>
      <w:szCs w:val="20"/>
      <w:lang w:eastAsia="en-US"/>
    </w:rPr>
  </w:style>
  <w:style w:type="paragraph" w:styleId="1219" w:customStyle="1">
    <w:name w:val="Char Char Char1 Char1"/>
    <w:basedOn w:val="885"/>
    <w:uiPriority w:val="0"/>
    <w:qFormat/>
    <w:pPr>
      <w:ind w:firstLine="200"/>
      <w:spacing w:line="360" w:lineRule="auto"/>
    </w:pPr>
    <w:rPr>
      <w:rFonts w:ascii="宋体" w:hAnsi="宋体" w:cs="宋体"/>
      <w:sz w:val="24"/>
    </w:rPr>
  </w:style>
  <w:style w:type="paragraph" w:styleId="1220" w:customStyle="1">
    <w:name w:val="Char"/>
    <w:basedOn w:val="885"/>
    <w:uiPriority w:val="0"/>
    <w:qFormat/>
    <w:pPr>
      <w:ind w:firstLine="288"/>
      <w:tabs>
        <w:tab w:val="left" w:pos="1008" w:leader="none"/>
      </w:tabs>
    </w:pPr>
    <w:rPr>
      <w:sz w:val="24"/>
    </w:rPr>
  </w:style>
  <w:style w:type="paragraph" w:styleId="1221" w:customStyle="1">
    <w:name w:val="图表题注"/>
    <w:basedOn w:val="1132"/>
    <w:next w:val="1130"/>
    <w:uiPriority w:val="0"/>
    <w:qFormat/>
    <w:pPr>
      <w:jc w:val="center"/>
      <w:spacing w:before="152" w:after="160"/>
    </w:pPr>
    <w:rPr>
      <w:rFonts w:ascii="Times New Roman" w:hAnsi="Times New Roman" w:eastAsia="宋体"/>
      <w:sz w:val="21"/>
    </w:rPr>
  </w:style>
  <w:style w:type="paragraph" w:styleId="1222" w:customStyle="1">
    <w:name w:val="Char11"/>
    <w:basedOn w:val="885"/>
    <w:uiPriority w:val="0"/>
    <w:qFormat/>
  </w:style>
  <w:style w:type="paragraph" w:styleId="1223" w:customStyle="1">
    <w:name w:val="Char Char Char Char"/>
    <w:basedOn w:val="885"/>
    <w:uiPriority w:val="0"/>
    <w:qFormat/>
    <w:rPr>
      <w:szCs w:val="21"/>
    </w:rPr>
  </w:style>
  <w:style w:type="paragraph" w:styleId="1224" w:customStyle="1">
    <w:name w:val="Char Char1 Char Char Char Char Char Char Char Char Char Char"/>
    <w:basedOn w:val="885"/>
    <w:uiPriority w:val="0"/>
    <w:qFormat/>
    <w:pPr>
      <w:jc w:val="left"/>
      <w:spacing w:after="160" w:line="240" w:lineRule="exact"/>
      <w:widowControl/>
    </w:pPr>
    <w:rPr>
      <w:rFonts w:ascii="Verdana" w:hAnsi="Verdana" w:eastAsia="仿宋_GB2312"/>
      <w:sz w:val="24"/>
      <w:szCs w:val="20"/>
      <w:lang w:eastAsia="en-US"/>
    </w:rPr>
  </w:style>
  <w:style w:type="paragraph" w:styleId="1225" w:customStyle="1">
    <w:name w:val="Char Char Char Char Char Char Char"/>
    <w:basedOn w:val="885"/>
    <w:uiPriority w:val="0"/>
    <w:qFormat/>
    <w:pPr>
      <w:ind w:left="432" w:hanging="432"/>
      <w:tabs>
        <w:tab w:val="left" w:pos="432" w:leader="none"/>
      </w:tabs>
    </w:pPr>
    <w:rPr>
      <w:rFonts w:ascii="Tahoma" w:hAnsi="Tahoma"/>
      <w:sz w:val="24"/>
      <w:szCs w:val="20"/>
    </w:rPr>
  </w:style>
  <w:style w:type="paragraph" w:styleId="1226" w:customStyle="1">
    <w:name w:val="Char Char Char1 Char4"/>
    <w:basedOn w:val="885"/>
    <w:uiPriority w:val="0"/>
    <w:qFormat/>
    <w:pPr>
      <w:ind w:firstLine="200"/>
      <w:spacing w:line="360" w:lineRule="auto"/>
    </w:pPr>
    <w:rPr>
      <w:rFonts w:ascii="宋体" w:hAnsi="宋体" w:cs="宋体"/>
      <w:sz w:val="24"/>
    </w:rPr>
  </w:style>
  <w:style w:type="paragraph" w:styleId="1227" w:customStyle="1">
    <w:name w:val="表内文字"/>
    <w:basedOn w:val="885"/>
    <w:uiPriority w:val="0"/>
    <w:qFormat/>
    <w:pPr>
      <w:jc w:val="center"/>
      <w:spacing w:line="360" w:lineRule="auto"/>
      <w:tabs>
        <w:tab w:val="left" w:pos="1418" w:leader="none"/>
      </w:tabs>
    </w:pPr>
    <w:rPr>
      <w:rFonts w:ascii="仿宋_GB2312" w:eastAsia="仿宋_GB2312"/>
      <w:spacing w:val="-20"/>
      <w:sz w:val="24"/>
    </w:rPr>
  </w:style>
  <w:style w:type="paragraph" w:styleId="1228" w:customStyle="1">
    <w:name w:val="Char Char Char1 Char5"/>
    <w:basedOn w:val="885"/>
    <w:uiPriority w:val="0"/>
    <w:qFormat/>
    <w:pPr>
      <w:ind w:firstLine="200"/>
      <w:spacing w:line="360" w:lineRule="auto"/>
    </w:pPr>
    <w:rPr>
      <w:rFonts w:ascii="宋体" w:hAnsi="宋体" w:cs="宋体"/>
      <w:sz w:val="24"/>
    </w:rPr>
  </w:style>
  <w:style w:type="paragraph" w:styleId="1229" w:customStyle="1">
    <w:name w:val="Proposals body"/>
    <w:basedOn w:val="885"/>
    <w:next w:val="885"/>
    <w:uiPriority w:val="0"/>
    <w:qFormat/>
    <w:pPr>
      <w:jc w:val="left"/>
      <w:spacing w:line="360" w:lineRule="auto"/>
      <w:widowControl/>
    </w:pPr>
    <w:rPr>
      <w:rFonts w:ascii="宋体"/>
      <w:color w:val="000000"/>
      <w:sz w:val="24"/>
      <w:szCs w:val="20"/>
    </w:rPr>
  </w:style>
  <w:style w:type="paragraph" w:styleId="1230" w:customStyle="1">
    <w:name w:val="Char Char Char1 Char6"/>
    <w:basedOn w:val="885"/>
    <w:uiPriority w:val="0"/>
    <w:qFormat/>
    <w:pPr>
      <w:ind w:firstLine="200"/>
      <w:spacing w:line="360" w:lineRule="auto"/>
    </w:pPr>
    <w:rPr>
      <w:rFonts w:ascii="宋体" w:hAnsi="宋体" w:cs="宋体"/>
      <w:sz w:val="24"/>
    </w:rPr>
  </w:style>
  <w:style w:type="paragraph" w:styleId="1231" w:customStyle="1">
    <w:name w:val="Char Char Char1 Char"/>
    <w:basedOn w:val="885"/>
    <w:uiPriority w:val="0"/>
    <w:qFormat/>
    <w:pPr>
      <w:ind w:firstLine="200"/>
      <w:spacing w:line="360" w:lineRule="auto"/>
    </w:pPr>
    <w:rPr>
      <w:rFonts w:ascii="宋体" w:hAnsi="宋体" w:cs="宋体"/>
      <w:sz w:val="24"/>
    </w:rPr>
  </w:style>
  <w:style w:type="paragraph" w:styleId="1232" w:customStyle="1">
    <w:name w:val="Default"/>
    <w:uiPriority w:val="0"/>
    <w:qFormat/>
    <w:pPr>
      <w:widowControl w:val="off"/>
    </w:pPr>
    <w:rPr>
      <w:rFonts w:hint="eastAsia" w:ascii="宋体" w:hAnsi="Times New Roman" w:eastAsia="宋体" w:cs="Times New Roman"/>
      <w:color w:val="000000"/>
      <w:sz w:val="24"/>
      <w:szCs w:val="24"/>
      <w:lang w:val="en-US" w:eastAsia="zh-CN" w:bidi="ar-SA"/>
    </w:rPr>
  </w:style>
  <w:style w:type="paragraph" w:styleId="1233" w:customStyle="1">
    <w:name w:val="Char Char Char1 Char3"/>
    <w:basedOn w:val="885"/>
    <w:uiPriority w:val="0"/>
    <w:qFormat/>
    <w:pPr>
      <w:ind w:firstLine="200"/>
      <w:spacing w:line="360" w:lineRule="auto"/>
    </w:pPr>
    <w:rPr>
      <w:rFonts w:ascii="宋体" w:hAnsi="宋体" w:cs="宋体"/>
      <w:sz w:val="24"/>
    </w:rPr>
  </w:style>
  <w:style w:type="paragraph" w:styleId="1234" w:customStyle="1">
    <w:name w:val="Char Char Char1 Char2"/>
    <w:basedOn w:val="885"/>
    <w:uiPriority w:val="0"/>
    <w:qFormat/>
    <w:pPr>
      <w:ind w:firstLine="200"/>
      <w:spacing w:line="360" w:lineRule="auto"/>
    </w:pPr>
    <w:rPr>
      <w:rFonts w:ascii="宋体" w:hAnsi="宋体" w:cs="宋体"/>
      <w:sz w:val="24"/>
    </w:rPr>
  </w:style>
  <w:style w:type="paragraph" w:styleId="1235" w:customStyle="1">
    <w:name w:val="_Style 49"/>
    <w:basedOn w:val="885"/>
    <w:next w:val="1151"/>
    <w:uiPriority w:val="0"/>
    <w:qFormat/>
    <w:rPr>
      <w:rFonts w:ascii="宋体" w:hAnsi="Courier New" w:cs="宋体"/>
      <w:sz w:val="24"/>
    </w:rPr>
  </w:style>
  <w:style w:type="paragraph" w:styleId="1236" w:customStyle="1">
    <w:name w:val="Char Char Char1 Char7"/>
    <w:basedOn w:val="885"/>
    <w:uiPriority w:val="0"/>
    <w:qFormat/>
    <w:pPr>
      <w:ind w:firstLine="200"/>
      <w:spacing w:line="360" w:lineRule="auto"/>
    </w:pPr>
    <w:rPr>
      <w:rFonts w:ascii="宋体" w:hAnsi="宋体" w:cs="宋体"/>
      <w:sz w:val="24"/>
    </w:rPr>
  </w:style>
  <w:style w:type="paragraph" w:styleId="1237" w:customStyle="1">
    <w:name w:val="Char Char Char1 Char8"/>
    <w:basedOn w:val="885"/>
    <w:uiPriority w:val="0"/>
    <w:qFormat/>
    <w:pPr>
      <w:ind w:firstLine="200"/>
      <w:spacing w:line="360" w:lineRule="auto"/>
    </w:pPr>
    <w:rPr>
      <w:rFonts w:ascii="宋体" w:hAnsi="宋体" w:cs="宋体"/>
      <w:sz w:val="24"/>
    </w:rPr>
  </w:style>
  <w:style w:type="paragraph" w:styleId="1238" w:customStyle="1">
    <w:name w:val="Char Char Char1 Char9"/>
    <w:basedOn w:val="885"/>
    <w:uiPriority w:val="0"/>
    <w:qFormat/>
    <w:pPr>
      <w:ind w:firstLine="200"/>
      <w:spacing w:line="360" w:lineRule="auto"/>
    </w:pPr>
    <w:rPr>
      <w:rFonts w:ascii="宋体" w:hAnsi="宋体" w:cs="宋体"/>
      <w:sz w:val="24"/>
    </w:rPr>
  </w:style>
  <w:style w:type="paragraph" w:styleId="1239" w:customStyle="1">
    <w:name w:val="TOC 标题11"/>
    <w:basedOn w:val="1099"/>
    <w:next w:val="885"/>
    <w:uiPriority w:val="39"/>
    <w:qFormat/>
    <w:pPr>
      <w:jc w:val="left"/>
      <w:spacing w:before="480" w:after="0" w:line="276" w:lineRule="auto"/>
      <w:widowControl/>
      <w:outlineLvl w:val="9"/>
    </w:pPr>
    <w:rPr>
      <w:rFonts w:ascii="Cambria" w:hAnsi="Cambria"/>
      <w:bCs/>
      <w:color w:val="365f91"/>
      <w:sz w:val="28"/>
      <w:szCs w:val="28"/>
    </w:rPr>
  </w:style>
  <w:style w:type="paragraph" w:styleId="1240" w:customStyle="1">
    <w:name w:val="小标题一"/>
    <w:basedOn w:val="885"/>
    <w:next w:val="885"/>
    <w:uiPriority w:val="0"/>
    <w:qFormat/>
    <w:pPr>
      <w:spacing w:line="500" w:lineRule="exact"/>
      <w:tabs>
        <w:tab w:val="left" w:pos="2247" w:leader="none"/>
      </w:tabs>
    </w:pPr>
    <w:rPr>
      <w:sz w:val="28"/>
      <w:szCs w:val="20"/>
    </w:rPr>
  </w:style>
  <w:style w:type="paragraph" w:styleId="1241" w:customStyle="1">
    <w:name w:val="xl25"/>
    <w:basedOn w:val="885"/>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42" w:customStyle="1">
    <w:name w:val="列出段落2"/>
    <w:basedOn w:val="1103"/>
    <w:link w:val="1247"/>
    <w:uiPriority w:val="0"/>
    <w:qFormat/>
    <w:pPr>
      <w:ind w:firstLine="420"/>
    </w:pPr>
    <w:rPr>
      <w:sz w:val="20"/>
      <w:szCs w:val="20"/>
    </w:rPr>
  </w:style>
  <w:style w:type="character" w:styleId="1243" w:customStyle="1">
    <w:name w:val="页码1"/>
    <w:link w:val="1103"/>
    <w:uiPriority w:val="0"/>
    <w:qFormat/>
    <w:rPr>
      <w:sz w:val="21"/>
      <w:szCs w:val="22"/>
      <w:lang w:val="en-US" w:eastAsia="zh-CN" w:bidi="ar-SA"/>
    </w:rPr>
  </w:style>
  <w:style w:type="paragraph" w:styleId="1244" w:customStyle="1">
    <w:name w:val="正文首行缩进 21"/>
    <w:basedOn w:val="1144"/>
    <w:uiPriority w:val="0"/>
    <w:qFormat/>
    <w:pPr>
      <w:ind w:left="420" w:firstLine="420"/>
    </w:pPr>
    <w:rPr>
      <w:szCs w:val="24"/>
    </w:rPr>
  </w:style>
  <w:style w:type="paragraph" w:styleId="1245" w:customStyle="1">
    <w:name w:val="正文文本缩进1"/>
    <w:basedOn w:val="885"/>
    <w:next w:val="1246"/>
    <w:uiPriority w:val="0"/>
    <w:qFormat/>
    <w:pPr>
      <w:ind w:firstLine="630"/>
    </w:pPr>
    <w:rPr>
      <w:szCs w:val="20"/>
    </w:rPr>
  </w:style>
  <w:style w:type="paragraph" w:styleId="1246" w:customStyle="1">
    <w:name w:val="寄信人地址1"/>
    <w:basedOn w:val="885"/>
    <w:uiPriority w:val="0"/>
    <w:qFormat/>
    <w:rPr>
      <w:rFonts w:ascii="Arial" w:hAnsi="Arial"/>
    </w:rPr>
  </w:style>
  <w:style w:type="character" w:styleId="1247" w:customStyle="1">
    <w:name w:val="列出段落 Char"/>
    <w:link w:val="1242"/>
    <w:uiPriority w:val="0"/>
    <w:qFormat/>
    <w:rPr>
      <w:rFonts w:ascii="Times New Roman" w:hAnsi="Times New Roman" w:eastAsia="宋体" w:cs="Times New Roman"/>
      <w:szCs w:val="20"/>
    </w:rPr>
  </w:style>
  <w:style w:type="paragraph" w:styleId="1248" w:customStyle="1">
    <w:name w:val="无间隔1"/>
    <w:basedOn w:val="885"/>
    <w:uiPriority w:val="0"/>
    <w:qFormat/>
    <w:pPr>
      <w:jc w:val="left"/>
      <w:widowControl/>
    </w:pPr>
    <w:rPr>
      <w:sz w:val="24"/>
      <w:szCs w:val="32"/>
      <w:lang w:eastAsia="en-US"/>
    </w:rPr>
  </w:style>
  <w:style w:type="paragraph" w:styleId="1249" w:customStyle="1">
    <w:name w:val="纯文本1"/>
    <w:basedOn w:val="885"/>
    <w:uiPriority w:val="0"/>
    <w:qFormat/>
    <w:rPr>
      <w:rFonts w:hint="eastAsia" w:ascii="宋体" w:hAnsi="Courier New"/>
    </w:rPr>
  </w:style>
  <w:style w:type="paragraph" w:styleId="1250" w:customStyle="1">
    <w:name w:val="paragraphindent"/>
    <w:basedOn w:val="885"/>
    <w:uiPriority w:val="0"/>
    <w:qFormat/>
    <w:pPr>
      <w:jc w:val="left"/>
      <w:spacing w:before="100" w:beforeAutospacing="1" w:after="100" w:afterAutospacing="1"/>
      <w:widowControl/>
    </w:pPr>
    <w:rPr>
      <w:rFonts w:ascii="宋体" w:hAnsi="宋体" w:cs="宋体"/>
      <w:sz w:val="24"/>
    </w:rPr>
  </w:style>
  <w:style w:type="paragraph" w:styleId="1251" w:customStyle="1">
    <w:name w:val="一级目录"/>
    <w:next w:val="885"/>
    <w:uiPriority w:val="0"/>
    <w:qFormat/>
    <w:pPr>
      <w:jc w:val="center"/>
      <w:outlineLvl w:val="0"/>
    </w:pPr>
    <w:rPr>
      <w:rFonts w:ascii="黑体" w:hAnsi="Times New Roman" w:eastAsia="黑体" w:cs="Times New Roman"/>
      <w:b/>
      <w:sz w:val="44"/>
      <w:szCs w:val="44"/>
      <w:lang w:val="en-US" w:eastAsia="zh-CN" w:bidi="ar-SA"/>
    </w:rPr>
  </w:style>
  <w:style w:type="paragraph" w:styleId="1252" w:customStyle="1">
    <w:name w:val="正文 New"/>
    <w:uiPriority w:val="0"/>
    <w:qFormat/>
    <w:pPr>
      <w:jc w:val="both"/>
      <w:widowControl w:val="off"/>
    </w:pPr>
    <w:rPr>
      <w:rFonts w:hint="eastAsia" w:ascii="Times New Roman" w:hAnsi="Times New Roman" w:eastAsia="宋体" w:cs="Times New Roman"/>
      <w:sz w:val="21"/>
      <w:lang w:val="en-US" w:eastAsia="zh-CN" w:bidi="ar-SA"/>
    </w:rPr>
  </w:style>
  <w:style w:type="paragraph" w:styleId="1253" w:customStyle="1">
    <w:name w:val="正文2"/>
    <w:basedOn w:val="885"/>
    <w:link w:val="1254"/>
    <w:uiPriority w:val="0"/>
    <w:qFormat/>
    <w:pPr>
      <w:ind w:firstLine="420"/>
      <w:spacing w:line="360" w:lineRule="auto"/>
    </w:pPr>
    <w:rPr>
      <w:sz w:val="28"/>
    </w:rPr>
  </w:style>
  <w:style w:type="character" w:styleId="1254" w:customStyle="1">
    <w:name w:val="正文2 Char"/>
    <w:link w:val="1253"/>
    <w:uiPriority w:val="0"/>
    <w:qFormat/>
    <w:rPr>
      <w:rFonts w:ascii="Times New Roman" w:hAnsi="Times New Roman" w:eastAsia="宋体" w:cs="Times New Roman"/>
      <w:sz w:val="28"/>
      <w:szCs w:val="24"/>
    </w:rPr>
  </w:style>
  <w:style w:type="character" w:styleId="1255" w:customStyle="1">
    <w:name w:val="apple-style-span"/>
    <w:uiPriority w:val="0"/>
    <w:qFormat/>
  </w:style>
  <w:style w:type="paragraph" w:styleId="1256" w:customStyle="1">
    <w:name w:val="Heading 21"/>
    <w:basedOn w:val="885"/>
    <w:next w:val="885"/>
    <w:uiPriority w:val="99"/>
    <w:qFormat/>
    <w:pPr>
      <w:spacing w:before="240" w:after="60" w:line="360" w:lineRule="atLeast"/>
    </w:pPr>
    <w:rPr>
      <w:rFonts w:ascii="Arial" w:hAnsi="Arial"/>
      <w:sz w:val="24"/>
      <w:szCs w:val="20"/>
    </w:rPr>
  </w:style>
  <w:style w:type="character" w:styleId="1257" w:customStyle="1">
    <w:name w:val="纯文本 Char1"/>
    <w:uiPriority w:val="0"/>
    <w:qFormat/>
    <w:rPr>
      <w:rFonts w:ascii="宋体" w:hAnsi="Courier New" w:eastAsia="宋体"/>
      <w:sz w:val="24"/>
      <w:lang w:val="en-US" w:eastAsia="zh-CN" w:bidi="ar-SA"/>
    </w:rPr>
  </w:style>
  <w:style w:type="paragraph" w:styleId="1258" w:customStyle="1">
    <w:name w:val="p0"/>
    <w:basedOn w:val="885"/>
    <w:uiPriority w:val="0"/>
    <w:qFormat/>
    <w:pPr>
      <w:widowControl/>
    </w:pPr>
    <w:rPr>
      <w:szCs w:val="21"/>
    </w:rPr>
  </w:style>
  <w:style w:type="paragraph" w:styleId="1259" w:customStyle="1">
    <w:name w:val="正文Land"/>
    <w:basedOn w:val="885"/>
    <w:uiPriority w:val="0"/>
    <w:qFormat/>
    <w:pPr>
      <w:ind w:firstLine="200"/>
      <w:spacing w:line="360" w:lineRule="auto"/>
    </w:pPr>
    <w:rPr>
      <w:rFonts w:ascii="宋体"/>
      <w:sz w:val="24"/>
    </w:rPr>
  </w:style>
  <w:style w:type="paragraph" w:styleId="1260" w:customStyle="1">
    <w:name w:val="正文首行缩进2字符"/>
    <w:basedOn w:val="885"/>
    <w:uiPriority w:val="0"/>
    <w:qFormat/>
    <w:pPr>
      <w:ind w:firstLine="200"/>
      <w:spacing w:line="360" w:lineRule="auto"/>
    </w:pPr>
    <w:rPr>
      <w:rFonts w:eastAsia="仿宋"/>
      <w:sz w:val="28"/>
      <w:szCs w:val="20"/>
    </w:rPr>
  </w:style>
  <w:style w:type="paragraph" w:styleId="1261" w:customStyle="1">
    <w:name w:val="正文首行缩进4字符"/>
    <w:basedOn w:val="885"/>
    <w:uiPriority w:val="0"/>
    <w:qFormat/>
    <w:pPr>
      <w:ind w:left="482" w:firstLine="482"/>
      <w:spacing w:line="360" w:lineRule="auto"/>
    </w:pPr>
    <w:rPr>
      <w:rFonts w:eastAsia="仿宋"/>
      <w:sz w:val="28"/>
      <w:szCs w:val="20"/>
    </w:rPr>
  </w:style>
  <w:style w:type="paragraph" w:styleId="1262" w:customStyle="1">
    <w:name w:val="标题2"/>
    <w:basedOn w:val="1100"/>
    <w:uiPriority w:val="0"/>
    <w:qFormat/>
    <w:pPr>
      <w:spacing w:before="0" w:after="0"/>
    </w:pPr>
    <w:rPr>
      <w:rFonts w:ascii="Cambria" w:hAnsi="Cambria" w:eastAsia="宋体"/>
      <w:b w:val="0"/>
      <w:sz w:val="28"/>
    </w:rPr>
  </w:style>
  <w:style w:type="paragraph" w:styleId="1263" w:customStyle="1">
    <w:name w:val="black1"/>
    <w:basedOn w:val="885"/>
    <w:uiPriority w:val="0"/>
    <w:qFormat/>
    <w:pPr>
      <w:jc w:val="left"/>
      <w:spacing w:before="100" w:beforeAutospacing="1" w:after="100" w:afterAutospacing="1"/>
      <w:widowControl/>
    </w:pPr>
    <w:rPr>
      <w:rFonts w:ascii="宋体" w:hAnsi="宋体"/>
      <w:sz w:val="24"/>
    </w:rPr>
  </w:style>
  <w:style w:type="paragraph" w:styleId="1264" w:customStyle="1">
    <w:name w:val="QB正文"/>
    <w:basedOn w:val="885"/>
    <w:link w:val="1265"/>
    <w:uiPriority w:val="0"/>
    <w:qFormat/>
    <w:pPr>
      <w:ind w:firstLine="200"/>
      <w:widowControl/>
    </w:pPr>
    <w:rPr>
      <w:rFonts w:ascii="宋体"/>
      <w:sz w:val="20"/>
      <w:szCs w:val="20"/>
    </w:rPr>
  </w:style>
  <w:style w:type="character" w:styleId="1265" w:customStyle="1">
    <w:name w:val="QB正文 Char"/>
    <w:link w:val="1264"/>
    <w:uiPriority w:val="0"/>
    <w:qFormat/>
    <w:rPr>
      <w:rFonts w:ascii="宋体" w:hAnsi="Times New Roman" w:eastAsia="宋体" w:cs="Times New Roman"/>
      <w:szCs w:val="20"/>
    </w:rPr>
  </w:style>
  <w:style w:type="paragraph" w:styleId="1266" w:customStyle="1">
    <w:name w:val="Table"/>
    <w:next w:val="885"/>
    <w:uiPriority w:val="0"/>
    <w:qFormat/>
    <w:pPr>
      <w:jc w:val="center"/>
      <w:keepLines/>
      <w:tabs>
        <w:tab w:val="left" w:pos="360" w:leader="none"/>
      </w:tabs>
    </w:pPr>
    <w:rPr>
      <w:rFonts w:ascii="Arial" w:hAnsi="Arial" w:eastAsia="宋体" w:cs="Times New Roman"/>
      <w:sz w:val="18"/>
      <w:szCs w:val="18"/>
      <w:lang w:val="en-US" w:eastAsia="zh-CN" w:bidi="ar-SA"/>
    </w:rPr>
  </w:style>
  <w:style w:type="paragraph" w:styleId="1267" w:customStyle="1">
    <w:name w:val="参考资料清单+倾斜+蓝色"/>
    <w:basedOn w:val="885"/>
    <w:uiPriority w:val="0"/>
    <w:qFormat/>
    <w:pPr>
      <w:spacing w:line="360" w:lineRule="auto"/>
    </w:pPr>
    <w:rPr>
      <w:rFonts w:ascii="Arial" w:hAnsi="Arial"/>
      <w:i/>
      <w:iCs/>
      <w:color w:val="0000ff"/>
      <w:szCs w:val="21"/>
    </w:rPr>
  </w:style>
  <w:style w:type="character" w:styleId="1268" w:customStyle="1">
    <w:name w:val="Figure Char"/>
    <w:uiPriority w:val="0"/>
    <w:qFormat/>
    <w:rPr>
      <w:sz w:val="21"/>
      <w:szCs w:val="21"/>
    </w:rPr>
  </w:style>
  <w:style w:type="character" w:styleId="1269" w:customStyle="1">
    <w:name w:val="正文2 Char Char"/>
    <w:uiPriority w:val="0"/>
    <w:qFormat/>
    <w:rPr>
      <w:sz w:val="24"/>
    </w:rPr>
  </w:style>
  <w:style w:type="paragraph" w:styleId="1270" w:customStyle="1">
    <w:name w:val="纯文本11"/>
    <w:basedOn w:val="885"/>
    <w:link w:val="1271"/>
    <w:uiPriority w:val="0"/>
    <w:qFormat/>
    <w:rPr>
      <w:rFonts w:ascii="宋体" w:hAnsi="Courier New" w:eastAsia="楷体_GB2312"/>
      <w:sz w:val="28"/>
      <w:szCs w:val="20"/>
    </w:rPr>
  </w:style>
  <w:style w:type="character" w:styleId="1271" w:customStyle="1">
    <w:name w:val="Plain Text Char Char"/>
    <w:link w:val="1270"/>
    <w:uiPriority w:val="0"/>
    <w:qFormat/>
    <w:rPr>
      <w:rFonts w:ascii="宋体" w:hAnsi="Courier New" w:eastAsia="楷体_GB2312" w:cs="Times New Roman"/>
      <w:sz w:val="28"/>
      <w:szCs w:val="20"/>
    </w:rPr>
  </w:style>
  <w:style w:type="paragraph" w:styleId="1272" w:customStyle="1">
    <w:name w:val="Char Char Char Char Char Char Char1"/>
    <w:basedOn w:val="885"/>
    <w:uiPriority w:val="0"/>
    <w:qFormat/>
    <w:pPr>
      <w:ind w:firstLine="480"/>
      <w:spacing w:line="360" w:lineRule="auto"/>
    </w:pPr>
    <w:rPr>
      <w:rFonts w:ascii="Tahoma" w:hAnsi="Tahoma"/>
      <w:sz w:val="24"/>
      <w:szCs w:val="20"/>
    </w:rPr>
  </w:style>
  <w:style w:type="character" w:styleId="1273" w:customStyle="1">
    <w:name w:val="apple-converted-space"/>
    <w:uiPriority w:val="0"/>
    <w:qFormat/>
  </w:style>
  <w:style w:type="character" w:styleId="1274" w:customStyle="1">
    <w:name w:val="font131"/>
    <w:uiPriority w:val="0"/>
    <w:qFormat/>
    <w:rPr>
      <w:sz w:val="20"/>
      <w:szCs w:val="20"/>
    </w:rPr>
  </w:style>
  <w:style w:type="paragraph" w:styleId="1275" w:customStyle="1">
    <w:name w:val="标题 1（绿盟科技）"/>
    <w:basedOn w:val="1099"/>
    <w:next w:val="885"/>
    <w:uiPriority w:val="0"/>
    <w:qFormat/>
    <w:pPr>
      <w:numPr>
        <w:ilvl w:val="0"/>
        <w:numId w:val="3"/>
      </w:numPr>
      <w:ind w:left="0" w:firstLine="0"/>
      <w:jc w:val="left"/>
      <w:spacing w:before="600"/>
      <w:tabs>
        <w:tab w:val="left" w:pos="360" w:leader="none"/>
      </w:tabs>
      <w:pBdr>
        <w:bottom w:val="single" w:color="000000" w:sz="48" w:space="1"/>
      </w:pBdr>
    </w:pPr>
    <w:rPr>
      <w:rFonts w:ascii="Arial" w:hAnsi="Arial" w:eastAsia="黑体"/>
      <w:bCs/>
      <w:szCs w:val="44"/>
    </w:rPr>
  </w:style>
  <w:style w:type="paragraph" w:styleId="1276" w:customStyle="1">
    <w:name w:val="标题 2（绿盟科技）"/>
    <w:basedOn w:val="1100"/>
    <w:next w:val="885"/>
    <w:uiPriority w:val="0"/>
    <w:qFormat/>
    <w:pPr>
      <w:numPr>
        <w:ilvl w:val="1"/>
        <w:numId w:val="3"/>
      </w:numPr>
      <w:ind w:left="0" w:firstLine="0"/>
      <w:jc w:val="left"/>
      <w:spacing w:line="415" w:lineRule="auto"/>
      <w:tabs>
        <w:tab w:val="left" w:pos="360" w:leader="none"/>
      </w:tabs>
    </w:pPr>
    <w:rPr>
      <w:bCs w:val="0"/>
    </w:rPr>
  </w:style>
  <w:style w:type="paragraph" w:styleId="1277" w:customStyle="1">
    <w:name w:val="标题 3（绿盟科技）"/>
    <w:basedOn w:val="1101"/>
    <w:next w:val="885"/>
    <w:uiPriority w:val="0"/>
    <w:qFormat/>
    <w:pPr>
      <w:numPr>
        <w:numId w:val="3"/>
      </w:numPr>
      <w:jc w:val="left"/>
      <w:spacing w:before="260" w:after="260" w:line="415" w:lineRule="auto"/>
      <w:tabs>
        <w:tab w:val="left" w:pos="960" w:leader="none"/>
      </w:tabs>
    </w:pPr>
    <w:rPr>
      <w:rFonts w:ascii="Arial" w:hAnsi="Arial" w:eastAsia="黑体"/>
      <w:bCs w:val="0"/>
      <w:szCs w:val="30"/>
    </w:rPr>
  </w:style>
  <w:style w:type="paragraph" w:styleId="1278" w:customStyle="1">
    <w:name w:val="标题 4（绿盟科技）"/>
    <w:basedOn w:val="1102"/>
    <w:next w:val="885"/>
    <w:uiPriority w:val="0"/>
    <w:qFormat/>
    <w:pPr>
      <w:numPr>
        <w:numId w:val="3"/>
      </w:numPr>
      <w:ind w:left="0" w:firstLine="0"/>
      <w:jc w:val="left"/>
      <w:spacing w:before="280" w:after="156" w:line="376" w:lineRule="auto"/>
      <w:widowControl/>
      <w:tabs>
        <w:tab w:val="left" w:pos="360" w:leader="none"/>
      </w:tabs>
    </w:pPr>
    <w:rPr>
      <w:bCs w:val="0"/>
    </w:rPr>
  </w:style>
  <w:style w:type="paragraph" w:styleId="1279" w:customStyle="1">
    <w:name w:val="标题 5（有编号）（绿盟科技）"/>
    <w:basedOn w:val="885"/>
    <w:next w:val="885"/>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280" w:customStyle="1">
    <w:name w:val="标题 6（有编号）（绿盟科技）"/>
    <w:basedOn w:val="885"/>
    <w:next w:val="885"/>
    <w:uiPriority w:val="0"/>
    <w:qFormat/>
    <w:pPr>
      <w:ind w:left="1247" w:hanging="1247"/>
      <w:jc w:val="left"/>
      <w:keepLines/>
      <w:keepNext/>
      <w:spacing w:before="240" w:after="64" w:line="319" w:lineRule="auto"/>
      <w:outlineLvl w:val="5"/>
    </w:pPr>
    <w:rPr>
      <w:rFonts w:ascii="Arial" w:hAnsi="Arial" w:eastAsia="黑体"/>
      <w:b/>
    </w:rPr>
  </w:style>
  <w:style w:type="paragraph" w:styleId="1281" w:customStyle="1">
    <w:name w:val="插图标注（绿盟科技）"/>
    <w:next w:val="885"/>
    <w:uiPriority w:val="0"/>
    <w:qFormat/>
    <w:pPr>
      <w:jc w:val="center"/>
      <w:spacing w:after="156"/>
    </w:pPr>
    <w:rPr>
      <w:rFonts w:ascii="Arial" w:hAnsi="Arial" w:eastAsia="宋体" w:cs="Arial"/>
      <w:sz w:val="21"/>
      <w:szCs w:val="21"/>
      <w:lang w:val="en-US" w:eastAsia="zh-CN" w:bidi="ar-SA"/>
    </w:rPr>
  </w:style>
  <w:style w:type="paragraph" w:styleId="1282" w:customStyle="1">
    <w:name w:val="表格标注（绿盟科技）"/>
    <w:basedOn w:val="1281"/>
    <w:next w:val="885"/>
    <w:uiPriority w:val="0"/>
    <w:qFormat/>
  </w:style>
  <w:style w:type="character" w:styleId="1283" w:customStyle="1">
    <w:name w:val="正文文本 (2) + 间距 0 pt"/>
    <w:uiPriority w:val="0"/>
    <w:qFormat/>
    <w:rPr>
      <w:rFonts w:ascii="MingLiU" w:hAnsi="MingLiU" w:eastAsia="MingLiU" w:cs="MingLiU"/>
      <w:color w:val="000000"/>
      <w:spacing w:val="0"/>
      <w:position w:val="0"/>
      <w:sz w:val="32"/>
      <w:szCs w:val="32"/>
      <w:shd w:val="clear" w:color="auto" w:fill="ffffff"/>
      <w:lang w:val="zh-CN" w:eastAsia="zh-CN" w:bidi="zh-CN"/>
    </w:rPr>
  </w:style>
  <w:style w:type="paragraph" w:styleId="1284" w:customStyle="1">
    <w:name w:val="默认段落字体 Para Char Char Char Char"/>
    <w:basedOn w:val="885"/>
    <w:uiPriority w:val="0"/>
    <w:qFormat/>
    <w:rPr>
      <w:szCs w:val="20"/>
    </w:rPr>
  </w:style>
  <w:style w:type="paragraph" w:styleId="1285" w:customStyle="1">
    <w:name w:val="正文文本3"/>
    <w:basedOn w:val="885"/>
    <w:uiPriority w:val="0"/>
    <w:qFormat/>
    <w:pPr>
      <w:spacing w:before="180" w:line="425" w:lineRule="exact"/>
      <w:shd w:val="clear" w:color="auto" w:fill="ffffff"/>
    </w:pPr>
    <w:rPr>
      <w:rFonts w:ascii="宋体" w:hAnsi="宋体"/>
      <w:sz w:val="23"/>
      <w:szCs w:val="23"/>
    </w:rPr>
  </w:style>
  <w:style w:type="character" w:styleId="1286" w:customStyle="1">
    <w:name w:val="标题 #2_"/>
    <w:link w:val="1287"/>
    <w:uiPriority w:val="0"/>
    <w:qFormat/>
    <w:rPr>
      <w:rFonts w:ascii="MingLiU" w:hAnsi="MingLiU" w:eastAsia="MingLiU" w:cs="MingLiU"/>
      <w:spacing w:val="20"/>
      <w:sz w:val="46"/>
      <w:szCs w:val="46"/>
      <w:shd w:val="clear" w:color="auto" w:fill="ffffff"/>
    </w:rPr>
  </w:style>
  <w:style w:type="paragraph" w:styleId="1287" w:customStyle="1">
    <w:name w:val="标题 #2"/>
    <w:basedOn w:val="885"/>
    <w:link w:val="1286"/>
    <w:uiPriority w:val="0"/>
    <w:qFormat/>
    <w:pPr>
      <w:jc w:val="center"/>
      <w:spacing w:before="1020" w:after="600" w:line="706" w:lineRule="exact"/>
      <w:shd w:val="clear" w:color="auto" w:fill="ffffff"/>
      <w:outlineLvl w:val="1"/>
    </w:pPr>
    <w:rPr>
      <w:rFonts w:ascii="MingLiU" w:hAnsi="MingLiU" w:eastAsia="MingLiU"/>
      <w:spacing w:val="20"/>
      <w:sz w:val="46"/>
      <w:szCs w:val="46"/>
    </w:rPr>
  </w:style>
  <w:style w:type="paragraph" w:styleId="1288" w:customStyle="1">
    <w:name w:val="正文4"/>
    <w:basedOn w:val="885"/>
    <w:uiPriority w:val="0"/>
    <w:qFormat/>
    <w:pPr>
      <w:ind w:firstLine="420"/>
      <w:jc w:val="left"/>
    </w:pPr>
    <w:rPr>
      <w:rFonts w:ascii="宋体" w:hAnsi="宋体" w:cs="宋体"/>
    </w:rPr>
  </w:style>
  <w:style w:type="paragraph" w:styleId="1289" w:customStyle="1">
    <w:name w:val="编号，小四"/>
    <w:basedOn w:val="885"/>
    <w:uiPriority w:val="0"/>
    <w:qFormat/>
    <w:pPr>
      <w:numPr>
        <w:ilvl w:val="0"/>
        <w:numId w:val="4"/>
      </w:numPr>
      <w:spacing w:line="360" w:lineRule="auto"/>
    </w:pPr>
    <w:rPr>
      <w:rFonts w:ascii="Arial" w:hAnsi="Arial" w:cs="宋体"/>
      <w:sz w:val="24"/>
      <w:szCs w:val="20"/>
    </w:rPr>
  </w:style>
  <w:style w:type="paragraph" w:styleId="1290" w:customStyle="1">
    <w:name w:val="样式 首行缩进:  0 字符"/>
    <w:basedOn w:val="885"/>
    <w:uiPriority w:val="0"/>
    <w:qFormat/>
    <w:pPr>
      <w:ind w:firstLine="200"/>
      <w:spacing w:line="360" w:lineRule="auto"/>
    </w:pPr>
    <w:rPr>
      <w:rFonts w:ascii="Arial" w:hAnsi="Arial" w:cs="宋体"/>
      <w:sz w:val="24"/>
      <w:szCs w:val="20"/>
    </w:rPr>
  </w:style>
  <w:style w:type="paragraph" w:styleId="1291" w:customStyle="1">
    <w:name w:val="正文四号"/>
    <w:basedOn w:val="885"/>
    <w:uiPriority w:val="0"/>
    <w:qFormat/>
    <w:pPr>
      <w:ind w:firstLine="200"/>
      <w:spacing w:line="360" w:lineRule="auto"/>
    </w:pPr>
    <w:rPr>
      <w:rFonts w:eastAsia="仿宋_GB2312" w:cs="宋体"/>
      <w:sz w:val="28"/>
      <w:szCs w:val="20"/>
    </w:rPr>
  </w:style>
  <w:style w:type="paragraph" w:styleId="1292" w:customStyle="1">
    <w:name w:val="标题 3.1"/>
    <w:basedOn w:val="1101"/>
    <w:uiPriority w:val="0"/>
    <w:qFormat/>
    <w:pPr>
      <w:numPr>
        <w:ilvl w:val="0"/>
        <w:numId w:val="0"/>
      </w:numPr>
      <w:spacing w:before="260" w:after="260" w:line="600" w:lineRule="exact"/>
      <w:tabs>
        <w:tab w:val="left" w:pos="720" w:leader="none"/>
        <w:tab w:val="left" w:pos="1440" w:leader="none"/>
        <w:tab w:val="left" w:pos="1620" w:leader="none"/>
      </w:tabs>
    </w:pPr>
    <w:rPr>
      <w:rFonts w:ascii="宋体" w:hAnsi="宋体"/>
      <w:color w:val="ff0000"/>
      <w:sz w:val="32"/>
    </w:rPr>
  </w:style>
  <w:style w:type="character" w:styleId="1293" w:customStyle="1">
    <w:name w:val="不明显强调2"/>
    <w:uiPriority w:val="0"/>
    <w:qFormat/>
    <w:rPr>
      <w:i/>
      <w:color w:val="5a5a5a"/>
    </w:rPr>
  </w:style>
  <w:style w:type="character" w:styleId="1294" w:customStyle="1">
    <w:name w:val="明显参考2"/>
    <w:uiPriority w:val="0"/>
    <w:qFormat/>
    <w:rPr>
      <w:rFonts w:cs="Times New Roman"/>
      <w:b/>
      <w:sz w:val="24"/>
      <w:u w:val="single"/>
    </w:rPr>
  </w:style>
  <w:style w:type="character" w:styleId="1295" w:customStyle="1">
    <w:name w:val="明显强调2"/>
    <w:uiPriority w:val="0"/>
    <w:qFormat/>
    <w:rPr>
      <w:rFonts w:cs="Times New Roman"/>
      <w:b/>
      <w:i/>
      <w:sz w:val="24"/>
      <w:szCs w:val="24"/>
      <w:u w:val="single"/>
    </w:rPr>
  </w:style>
  <w:style w:type="character" w:styleId="1296" w:customStyle="1">
    <w:name w:val="书籍标题2"/>
    <w:uiPriority w:val="0"/>
    <w:qFormat/>
    <w:rPr>
      <w:rFonts w:ascii="Arial" w:hAnsi="Arial" w:eastAsia="黑体" w:cs="Times New Roman"/>
      <w:b/>
      <w:i/>
      <w:sz w:val="24"/>
      <w:szCs w:val="24"/>
    </w:rPr>
  </w:style>
  <w:style w:type="character" w:styleId="1297" w:customStyle="1">
    <w:name w:val="不明显参考2"/>
    <w:uiPriority w:val="0"/>
    <w:qFormat/>
    <w:rPr>
      <w:rFonts w:cs="Times New Roman"/>
      <w:sz w:val="24"/>
      <w:szCs w:val="24"/>
      <w:u w:val="single"/>
    </w:rPr>
  </w:style>
  <w:style w:type="paragraph" w:styleId="1298" w:customStyle="1">
    <w:name w:val="Char Char2"/>
    <w:basedOn w:val="885"/>
    <w:uiPriority w:val="0"/>
    <w:qFormat/>
    <w:rPr>
      <w:rFonts w:ascii="Tahoma" w:hAnsi="Tahoma"/>
      <w:sz w:val="24"/>
      <w:szCs w:val="20"/>
    </w:rPr>
  </w:style>
  <w:style w:type="paragraph" w:styleId="1299" w:customStyle="1">
    <w:name w:val="Char Char11"/>
    <w:basedOn w:val="885"/>
    <w:uiPriority w:val="0"/>
    <w:qFormat/>
    <w:pPr>
      <w:jc w:val="left"/>
      <w:spacing w:after="160" w:line="240" w:lineRule="exact"/>
      <w:widowControl/>
    </w:pPr>
    <w:rPr>
      <w:rFonts w:ascii="Verdana" w:hAnsi="Verdana" w:eastAsia="仿宋_GB2312"/>
      <w:sz w:val="24"/>
      <w:szCs w:val="20"/>
      <w:lang w:eastAsia="en-US"/>
    </w:rPr>
  </w:style>
  <w:style w:type="paragraph" w:styleId="1300" w:customStyle="1">
    <w:name w:val="Char2"/>
    <w:basedOn w:val="885"/>
    <w:uiPriority w:val="0"/>
    <w:qFormat/>
  </w:style>
  <w:style w:type="paragraph" w:styleId="1301" w:customStyle="1">
    <w:name w:val="Char Char1 Char Char Char Char Char Char Char Char Char Char1"/>
    <w:basedOn w:val="885"/>
    <w:uiPriority w:val="0"/>
    <w:qFormat/>
    <w:pPr>
      <w:jc w:val="left"/>
      <w:spacing w:after="160" w:line="240" w:lineRule="exact"/>
      <w:widowControl/>
    </w:pPr>
    <w:rPr>
      <w:rFonts w:ascii="Verdana" w:hAnsi="Verdana" w:eastAsia="仿宋_GB2312"/>
      <w:sz w:val="24"/>
      <w:szCs w:val="20"/>
      <w:lang w:eastAsia="en-US"/>
    </w:rPr>
  </w:style>
  <w:style w:type="paragraph" w:styleId="1302" w:customStyle="1">
    <w:name w:val="Char Char Char Char Char Char Char2"/>
    <w:basedOn w:val="885"/>
    <w:uiPriority w:val="0"/>
    <w:qFormat/>
    <w:pPr>
      <w:ind w:left="432" w:hanging="432"/>
      <w:tabs>
        <w:tab w:val="left" w:pos="432" w:leader="none"/>
      </w:tabs>
    </w:pPr>
    <w:rPr>
      <w:rFonts w:ascii="Tahoma" w:hAnsi="Tahoma"/>
      <w:sz w:val="24"/>
      <w:szCs w:val="20"/>
    </w:rPr>
  </w:style>
  <w:style w:type="paragraph" w:styleId="1303" w:customStyle="1">
    <w:name w:val="Char Char Char1 Char10"/>
    <w:basedOn w:val="885"/>
    <w:uiPriority w:val="0"/>
    <w:qFormat/>
    <w:pPr>
      <w:ind w:firstLine="200"/>
      <w:spacing w:line="360" w:lineRule="auto"/>
    </w:pPr>
    <w:rPr>
      <w:rFonts w:ascii="宋体" w:hAnsi="宋体" w:cs="宋体"/>
      <w:sz w:val="24"/>
    </w:rPr>
  </w:style>
  <w:style w:type="paragraph" w:styleId="1304" w:customStyle="1">
    <w:name w:val="引用2"/>
    <w:basedOn w:val="885"/>
    <w:next w:val="885"/>
    <w:uiPriority w:val="0"/>
    <w:qFormat/>
    <w:pPr>
      <w:jc w:val="left"/>
      <w:widowControl/>
    </w:pPr>
    <w:rPr>
      <w:i/>
      <w:sz w:val="24"/>
      <w:lang w:eastAsia="en-US"/>
    </w:rPr>
  </w:style>
  <w:style w:type="paragraph" w:styleId="1305" w:customStyle="1">
    <w:name w:val="明显引用2"/>
    <w:basedOn w:val="885"/>
    <w:next w:val="885"/>
    <w:uiPriority w:val="0"/>
    <w:qFormat/>
    <w:pPr>
      <w:ind w:left="720" w:right="720"/>
      <w:jc w:val="left"/>
      <w:widowControl/>
    </w:pPr>
    <w:rPr>
      <w:b/>
      <w:i/>
      <w:sz w:val="24"/>
      <w:szCs w:val="22"/>
      <w:lang w:eastAsia="en-US"/>
    </w:rPr>
  </w:style>
  <w:style w:type="paragraph" w:styleId="1306" w:customStyle="1">
    <w:name w:val="列出段落21"/>
    <w:basedOn w:val="885"/>
    <w:uiPriority w:val="0"/>
    <w:qFormat/>
    <w:pPr>
      <w:contextualSpacing/>
      <w:ind w:left="720"/>
      <w:jc w:val="left"/>
      <w:widowControl/>
    </w:pPr>
    <w:rPr>
      <w:sz w:val="24"/>
      <w:lang w:eastAsia="en-US"/>
    </w:rPr>
  </w:style>
  <w:style w:type="paragraph" w:styleId="1307" w:customStyle="1">
    <w:name w:val="无间隔2"/>
    <w:basedOn w:val="885"/>
    <w:uiPriority w:val="0"/>
    <w:qFormat/>
    <w:pPr>
      <w:jc w:val="left"/>
      <w:widowControl/>
    </w:pPr>
    <w:rPr>
      <w:sz w:val="24"/>
      <w:szCs w:val="32"/>
      <w:lang w:eastAsia="en-US"/>
    </w:rPr>
  </w:style>
  <w:style w:type="paragraph" w:styleId="1308" w:customStyle="1">
    <w:name w:val="纯文本2"/>
    <w:basedOn w:val="885"/>
    <w:uiPriority w:val="0"/>
    <w:qFormat/>
    <w:rPr>
      <w:rFonts w:hint="eastAsia" w:ascii="宋体" w:hAnsi="Courier New"/>
    </w:rPr>
  </w:style>
  <w:style w:type="character" w:styleId="1309" w:customStyle="1">
    <w:name w:val="页眉或页脚_"/>
    <w:link w:val="1310"/>
    <w:uiPriority w:val="99"/>
    <w:qFormat/>
    <w:rPr>
      <w:rFonts w:ascii="MingLiU" w:hAnsi="MingLiU" w:eastAsia="MingLiU" w:cs="MingLiU"/>
      <w:spacing w:val="-10"/>
      <w:shd w:val="clear" w:color="auto" w:fill="ffffff"/>
    </w:rPr>
  </w:style>
  <w:style w:type="paragraph" w:styleId="1310" w:customStyle="1">
    <w:name w:val="页眉或页脚"/>
    <w:basedOn w:val="885"/>
    <w:link w:val="1309"/>
    <w:uiPriority w:val="99"/>
    <w:qFormat/>
    <w:pPr>
      <w:jc w:val="left"/>
      <w:spacing w:line="240" w:lineRule="atLeast"/>
      <w:shd w:val="clear" w:color="auto" w:fill="ffffff"/>
    </w:pPr>
    <w:rPr>
      <w:rFonts w:ascii="MingLiU" w:hAnsi="MingLiU" w:eastAsia="MingLiU"/>
      <w:spacing w:val="-10"/>
      <w:sz w:val="20"/>
      <w:szCs w:val="20"/>
    </w:rPr>
  </w:style>
  <w:style w:type="character" w:styleId="1311" w:customStyle="1">
    <w:name w:val="font51"/>
    <w:uiPriority w:val="0"/>
    <w:qFormat/>
    <w:rPr>
      <w:rFonts w:hint="eastAsia" w:ascii="宋体" w:hAnsi="宋体" w:eastAsia="宋体" w:cs="宋体"/>
      <w:b/>
      <w:color w:val="000000"/>
      <w:sz w:val="24"/>
      <w:szCs w:val="24"/>
      <w:u w:val="none"/>
    </w:rPr>
  </w:style>
  <w:style w:type="character" w:styleId="1312" w:customStyle="1">
    <w:name w:val="p12"/>
    <w:uiPriority w:val="0"/>
    <w:qFormat/>
  </w:style>
  <w:style w:type="character" w:styleId="1313" w:customStyle="1">
    <w:name w:val="无间隔 Char"/>
    <w:link w:val="1314"/>
    <w:uiPriority w:val="99"/>
    <w:qFormat/>
    <w:rPr>
      <w:rFonts w:ascii="Times New Roman" w:hAnsi="Times New Roman" w:eastAsia="宋体" w:cs="Times New Roman"/>
      <w:sz w:val="20"/>
      <w:szCs w:val="20"/>
    </w:rPr>
  </w:style>
  <w:style w:type="paragraph" w:styleId="1314" w:customStyle="1">
    <w:name w:val="无间隔3"/>
    <w:basedOn w:val="885"/>
    <w:link w:val="1313"/>
    <w:uiPriority w:val="99"/>
    <w:qFormat/>
    <w:pPr>
      <w:jc w:val="left"/>
      <w:widowControl/>
    </w:pPr>
    <w:rPr>
      <w:sz w:val="20"/>
      <w:szCs w:val="20"/>
    </w:rPr>
  </w:style>
  <w:style w:type="paragraph" w:styleId="1315" w:customStyle="1">
    <w:name w:val="Char Char Char1 Char Char Char Char"/>
    <w:basedOn w:val="885"/>
    <w:uiPriority w:val="0"/>
    <w:qFormat/>
    <w:pPr>
      <w:jc w:val="left"/>
      <w:spacing w:after="160" w:line="240" w:lineRule="exact"/>
      <w:widowControl/>
    </w:pPr>
    <w:rPr>
      <w:sz w:val="24"/>
      <w:szCs w:val="20"/>
    </w:rPr>
  </w:style>
  <w:style w:type="paragraph" w:styleId="1316" w:customStyle="1">
    <w:name w:val="纯文本21"/>
    <w:basedOn w:val="885"/>
    <w:uiPriority w:val="0"/>
    <w:qFormat/>
    <w:pPr>
      <w:jc w:val="left"/>
      <w:widowControl/>
    </w:pPr>
    <w:rPr>
      <w:rFonts w:ascii="宋体" w:hAnsi="Courier New" w:eastAsia="楷体_GB2312"/>
      <w:sz w:val="26"/>
      <w:szCs w:val="20"/>
    </w:rPr>
  </w:style>
  <w:style w:type="paragraph" w:styleId="1317" w:customStyle="1">
    <w:name w:val="图"/>
    <w:basedOn w:val="885"/>
    <w:uiPriority w:val="0"/>
    <w:qFormat/>
    <w:pPr>
      <w:jc w:val="center"/>
      <w:keepNext/>
      <w:spacing w:before="60" w:after="60" w:line="300" w:lineRule="auto"/>
    </w:pPr>
    <w:rPr>
      <w:spacing w:val="20"/>
      <w:sz w:val="24"/>
      <w:szCs w:val="20"/>
    </w:rPr>
  </w:style>
  <w:style w:type="paragraph" w:styleId="1318" w:customStyle="1">
    <w:name w:val="_Style 25"/>
    <w:basedOn w:val="885"/>
    <w:uiPriority w:val="0"/>
    <w:qFormat/>
    <w:pPr>
      <w:jc w:val="left"/>
      <w:spacing w:after="160" w:line="240" w:lineRule="exact"/>
      <w:widowControl/>
    </w:pPr>
    <w:rPr>
      <w:sz w:val="24"/>
      <w:szCs w:val="20"/>
    </w:rPr>
  </w:style>
  <w:style w:type="paragraph" w:styleId="1319" w:customStyle="1">
    <w:name w:val="xl31"/>
    <w:basedOn w:val="885"/>
    <w:uiPriority w:val="0"/>
    <w:qFormat/>
    <w:pPr>
      <w:jc w:val="center"/>
      <w:spacing w:before="100" w:beforeAutospacing="1" w:after="100" w:afterAutospacing="1"/>
      <w:widowControl/>
      <w:pBdr>
        <w:bottom w:val="single" w:color="000000" w:sz="4" w:space="0"/>
        <w:right w:val="single" w:color="000000" w:sz="4" w:space="0"/>
      </w:pBdr>
    </w:pPr>
    <w:rPr>
      <w:rFonts w:ascii="宋体" w:hAnsi="宋体"/>
      <w:szCs w:val="20"/>
    </w:rPr>
  </w:style>
  <w:style w:type="paragraph" w:styleId="1320" w:customStyle="1">
    <w:name w:val="xl35"/>
    <w:basedOn w:val="885"/>
    <w:uiPriority w:val="0"/>
    <w:qFormat/>
    <w:pPr>
      <w:jc w:val="right"/>
      <w:spacing w:before="100" w:beforeAutospacing="1" w:after="100" w:afterAutospacing="1"/>
      <w:widowControl/>
    </w:pPr>
    <w:rPr>
      <w:rFonts w:ascii="宋体" w:hAnsi="宋体"/>
      <w:sz w:val="18"/>
      <w:szCs w:val="20"/>
    </w:rPr>
  </w:style>
  <w:style w:type="paragraph" w:styleId="1321" w:customStyle="1">
    <w:name w:val="Char Char Char Char Char Char"/>
    <w:basedOn w:val="1134"/>
    <w:uiPriority w:val="0"/>
    <w:qFormat/>
    <w:pPr>
      <w:spacing w:line="360" w:lineRule="auto"/>
    </w:pPr>
    <w:rPr>
      <w:rFonts w:ascii="Tahoma" w:hAnsi="Tahoma"/>
      <w:sz w:val="24"/>
      <w:szCs w:val="20"/>
    </w:rPr>
  </w:style>
  <w:style w:type="paragraph" w:styleId="1322" w:customStyle="1">
    <w:name w:val="Char1"/>
    <w:basedOn w:val="885"/>
    <w:uiPriority w:val="0"/>
    <w:qFormat/>
    <w:pPr>
      <w:numPr>
        <w:ilvl w:val="0"/>
        <w:numId w:val="1"/>
      </w:numPr>
      <w:tabs>
        <w:tab w:val="left" w:pos="360" w:leader="none"/>
      </w:tabs>
    </w:pPr>
    <w:rPr>
      <w:sz w:val="24"/>
      <w:szCs w:val="20"/>
    </w:rPr>
  </w:style>
  <w:style w:type="paragraph" w:styleId="1323" w:customStyle="1">
    <w:name w:val="font5"/>
    <w:basedOn w:val="885"/>
    <w:uiPriority w:val="0"/>
    <w:qFormat/>
    <w:pPr>
      <w:jc w:val="left"/>
      <w:spacing w:before="100" w:beforeAutospacing="1" w:after="100" w:afterAutospacing="1"/>
      <w:widowControl/>
    </w:pPr>
    <w:rPr>
      <w:rFonts w:hint="eastAsia" w:ascii="宋体" w:hAnsi="宋体"/>
      <w:sz w:val="18"/>
      <w:szCs w:val="20"/>
    </w:rPr>
  </w:style>
  <w:style w:type="paragraph" w:styleId="1324" w:customStyle="1">
    <w:name w:val="Char Char Char Char Char Char Char Char Char Char"/>
    <w:basedOn w:val="885"/>
    <w:uiPriority w:val="0"/>
    <w:qFormat/>
    <w:pPr>
      <w:tabs>
        <w:tab w:val="left" w:pos="360" w:leader="none"/>
      </w:tabs>
    </w:pPr>
    <w:rPr>
      <w:sz w:val="24"/>
    </w:rPr>
  </w:style>
  <w:style w:type="paragraph" w:styleId="1325" w:customStyle="1">
    <w:name w:val="1"/>
    <w:basedOn w:val="885"/>
    <w:uiPriority w:val="0"/>
    <w:qFormat/>
    <w:pPr>
      <w:ind w:left="420" w:firstLine="270"/>
      <w:tabs>
        <w:tab w:val="left" w:pos="425" w:leader="none"/>
      </w:tabs>
    </w:pPr>
    <w:rPr>
      <w:szCs w:val="20"/>
    </w:rPr>
  </w:style>
  <w:style w:type="paragraph" w:styleId="1326" w:customStyle="1">
    <w:name w:val="my正文"/>
    <w:basedOn w:val="885"/>
    <w:uiPriority w:val="0"/>
    <w:qFormat/>
    <w:pPr>
      <w:ind w:firstLine="480"/>
      <w:spacing w:line="360" w:lineRule="auto"/>
    </w:pPr>
    <w:rPr>
      <w:sz w:val="24"/>
    </w:rPr>
  </w:style>
  <w:style w:type="paragraph" w:styleId="1327" w:customStyle="1">
    <w:name w:val="H-TextFormat"/>
    <w:uiPriority w:val="0"/>
    <w:qFormat/>
    <w:rPr>
      <w:rFonts w:ascii="Arial" w:hAnsi="Arial" w:eastAsia="宋体" w:cs="Times New Roman"/>
      <w:sz w:val="22"/>
      <w:lang w:val="en-GB" w:eastAsia="en-US" w:bidi="ar-SA"/>
    </w:rPr>
  </w:style>
  <w:style w:type="paragraph" w:styleId="1328" w:customStyle="1">
    <w:name w:val="_Style 12"/>
    <w:basedOn w:val="1134"/>
    <w:uiPriority w:val="0"/>
    <w:qFormat/>
    <w:pPr>
      <w:spacing w:line="360" w:lineRule="auto"/>
    </w:pPr>
    <w:rPr>
      <w:szCs w:val="20"/>
      <w:shd w:val="clear" w:color="auto" w:fill="000080"/>
    </w:rPr>
  </w:style>
  <w:style w:type="paragraph" w:styleId="1329" w:customStyle="1">
    <w:name w:val="NRSection"/>
    <w:basedOn w:val="885"/>
    <w:uiPriority w:val="0"/>
    <w:qFormat/>
    <w:pPr>
      <w:jc w:val="left"/>
      <w:widowControl/>
      <w:outlineLvl w:val="4"/>
    </w:pPr>
    <w:rPr>
      <w:b/>
      <w:sz w:val="24"/>
      <w:szCs w:val="20"/>
    </w:rPr>
  </w:style>
  <w:style w:type="paragraph" w:styleId="1330" w:customStyle="1">
    <w:name w:val="Style5"/>
    <w:basedOn w:val="885"/>
    <w:uiPriority w:val="99"/>
    <w:qFormat/>
    <w:pPr>
      <w:jc w:val="left"/>
    </w:pPr>
    <w:rPr>
      <w:rFonts w:ascii="宋体" w:hAnsi="Calibri"/>
      <w:sz w:val="24"/>
    </w:rPr>
  </w:style>
  <w:style w:type="character" w:styleId="1331" w:customStyle="1">
    <w:name w:val="不明显强调3"/>
    <w:uiPriority w:val="0"/>
    <w:qFormat/>
    <w:rPr>
      <w:i/>
      <w:color w:val="5a5a5a"/>
    </w:rPr>
  </w:style>
  <w:style w:type="character" w:styleId="1332" w:customStyle="1">
    <w:name w:val="明显参考3"/>
    <w:uiPriority w:val="0"/>
    <w:qFormat/>
    <w:rPr>
      <w:rFonts w:cs="Times New Roman"/>
      <w:b/>
      <w:sz w:val="24"/>
      <w:u w:val="single"/>
    </w:rPr>
  </w:style>
  <w:style w:type="character" w:styleId="1333" w:customStyle="1">
    <w:name w:val="明显强调3"/>
    <w:uiPriority w:val="0"/>
    <w:qFormat/>
    <w:rPr>
      <w:rFonts w:cs="Times New Roman"/>
      <w:b/>
      <w:i/>
      <w:sz w:val="24"/>
      <w:szCs w:val="24"/>
      <w:u w:val="single"/>
    </w:rPr>
  </w:style>
  <w:style w:type="character" w:styleId="1334" w:customStyle="1">
    <w:name w:val="书籍标题3"/>
    <w:uiPriority w:val="0"/>
    <w:qFormat/>
    <w:rPr>
      <w:rFonts w:ascii="Arial" w:hAnsi="Arial" w:eastAsia="黑体" w:cs="Times New Roman"/>
      <w:b/>
      <w:i/>
      <w:sz w:val="24"/>
      <w:szCs w:val="24"/>
    </w:rPr>
  </w:style>
  <w:style w:type="character" w:styleId="1335" w:customStyle="1">
    <w:name w:val="不明显参考3"/>
    <w:uiPriority w:val="0"/>
    <w:qFormat/>
    <w:rPr>
      <w:rFonts w:cs="Times New Roman"/>
      <w:sz w:val="24"/>
      <w:szCs w:val="24"/>
      <w:u w:val="single"/>
    </w:rPr>
  </w:style>
  <w:style w:type="paragraph" w:styleId="1336" w:customStyle="1">
    <w:name w:val="Char Char3"/>
    <w:basedOn w:val="885"/>
    <w:uiPriority w:val="0"/>
    <w:qFormat/>
    <w:rPr>
      <w:rFonts w:ascii="Tahoma" w:hAnsi="Tahoma"/>
      <w:sz w:val="24"/>
      <w:szCs w:val="20"/>
    </w:rPr>
  </w:style>
  <w:style w:type="paragraph" w:styleId="1337" w:customStyle="1">
    <w:name w:val="Char Char12"/>
    <w:basedOn w:val="885"/>
    <w:uiPriority w:val="0"/>
    <w:qFormat/>
    <w:pPr>
      <w:jc w:val="left"/>
      <w:spacing w:after="160" w:line="240" w:lineRule="exact"/>
      <w:widowControl/>
    </w:pPr>
    <w:rPr>
      <w:rFonts w:ascii="Verdana" w:hAnsi="Verdana" w:eastAsia="仿宋_GB2312"/>
      <w:sz w:val="24"/>
      <w:szCs w:val="20"/>
      <w:lang w:eastAsia="en-US"/>
    </w:rPr>
  </w:style>
  <w:style w:type="paragraph" w:styleId="1338" w:customStyle="1">
    <w:name w:val="Char3"/>
    <w:basedOn w:val="885"/>
    <w:uiPriority w:val="0"/>
    <w:qFormat/>
  </w:style>
  <w:style w:type="paragraph" w:styleId="1339" w:customStyle="1">
    <w:name w:val="Char Char1 Char Char Char Char Char Char Char Char Char Char2"/>
    <w:basedOn w:val="885"/>
    <w:uiPriority w:val="0"/>
    <w:qFormat/>
    <w:pPr>
      <w:jc w:val="left"/>
      <w:spacing w:after="160" w:line="240" w:lineRule="exact"/>
      <w:widowControl/>
    </w:pPr>
    <w:rPr>
      <w:rFonts w:ascii="Verdana" w:hAnsi="Verdana" w:eastAsia="仿宋_GB2312"/>
      <w:sz w:val="24"/>
      <w:szCs w:val="20"/>
      <w:lang w:eastAsia="en-US"/>
    </w:rPr>
  </w:style>
  <w:style w:type="paragraph" w:styleId="1340" w:customStyle="1">
    <w:name w:val="Char Char Char Char Char Char Char3"/>
    <w:basedOn w:val="885"/>
    <w:uiPriority w:val="0"/>
    <w:qFormat/>
    <w:pPr>
      <w:ind w:left="432" w:hanging="432"/>
      <w:tabs>
        <w:tab w:val="left" w:pos="432" w:leader="none"/>
      </w:tabs>
    </w:pPr>
    <w:rPr>
      <w:rFonts w:ascii="Tahoma" w:hAnsi="Tahoma"/>
      <w:sz w:val="24"/>
      <w:szCs w:val="20"/>
    </w:rPr>
  </w:style>
  <w:style w:type="paragraph" w:styleId="1341" w:customStyle="1">
    <w:name w:val="Char Char Char1 Char11"/>
    <w:basedOn w:val="885"/>
    <w:uiPriority w:val="0"/>
    <w:qFormat/>
    <w:pPr>
      <w:ind w:firstLine="200"/>
      <w:spacing w:line="360" w:lineRule="auto"/>
    </w:pPr>
    <w:rPr>
      <w:rFonts w:ascii="宋体" w:hAnsi="宋体" w:cs="宋体"/>
      <w:sz w:val="24"/>
    </w:rPr>
  </w:style>
  <w:style w:type="paragraph" w:styleId="1342" w:customStyle="1">
    <w:name w:val="引用3"/>
    <w:basedOn w:val="885"/>
    <w:next w:val="885"/>
    <w:uiPriority w:val="0"/>
    <w:qFormat/>
    <w:pPr>
      <w:jc w:val="left"/>
      <w:widowControl/>
    </w:pPr>
    <w:rPr>
      <w:i/>
      <w:sz w:val="24"/>
      <w:lang w:eastAsia="en-US"/>
    </w:rPr>
  </w:style>
  <w:style w:type="paragraph" w:styleId="1343" w:customStyle="1">
    <w:name w:val="明显引用3"/>
    <w:basedOn w:val="885"/>
    <w:next w:val="885"/>
    <w:uiPriority w:val="0"/>
    <w:qFormat/>
    <w:pPr>
      <w:ind w:left="720" w:right="720"/>
      <w:jc w:val="left"/>
      <w:widowControl/>
    </w:pPr>
    <w:rPr>
      <w:b/>
      <w:i/>
      <w:sz w:val="24"/>
      <w:szCs w:val="22"/>
      <w:lang w:eastAsia="en-US"/>
    </w:rPr>
  </w:style>
  <w:style w:type="paragraph" w:styleId="1344" w:customStyle="1">
    <w:name w:val="列出段落3"/>
    <w:basedOn w:val="885"/>
    <w:uiPriority w:val="34"/>
    <w:qFormat/>
    <w:pPr>
      <w:contextualSpacing/>
      <w:ind w:left="720"/>
      <w:jc w:val="left"/>
      <w:widowControl/>
    </w:pPr>
    <w:rPr>
      <w:sz w:val="24"/>
      <w:lang w:eastAsia="en-US"/>
    </w:rPr>
  </w:style>
  <w:style w:type="paragraph" w:styleId="1345" w:customStyle="1">
    <w:name w:val="无间隔31"/>
    <w:basedOn w:val="885"/>
    <w:uiPriority w:val="0"/>
    <w:qFormat/>
    <w:pPr>
      <w:jc w:val="left"/>
      <w:widowControl/>
    </w:pPr>
    <w:rPr>
      <w:sz w:val="24"/>
      <w:szCs w:val="32"/>
      <w:lang w:eastAsia="en-US"/>
    </w:rPr>
  </w:style>
  <w:style w:type="paragraph" w:styleId="1346" w:customStyle="1">
    <w:name w:val="纯文本3"/>
    <w:basedOn w:val="885"/>
    <w:uiPriority w:val="0"/>
    <w:qFormat/>
    <w:rPr>
      <w:rFonts w:hint="eastAsia" w:ascii="宋体" w:hAnsi="Courier New"/>
    </w:rPr>
  </w:style>
  <w:style w:type="character" w:styleId="1347" w:customStyle="1">
    <w:name w:val="DL 段落缩进2 Char Char"/>
    <w:link w:val="1348"/>
    <w:uiPriority w:val="0"/>
    <w:qFormat/>
    <w:rPr>
      <w:rFonts w:ascii="宋体" w:hAnsi="宋体"/>
      <w:szCs w:val="21"/>
    </w:rPr>
  </w:style>
  <w:style w:type="paragraph" w:styleId="1348" w:customStyle="1">
    <w:name w:val="DL 段落缩进2"/>
    <w:basedOn w:val="885"/>
    <w:link w:val="1347"/>
    <w:uiPriority w:val="0"/>
    <w:qFormat/>
    <w:pPr>
      <w:ind w:firstLine="420"/>
    </w:pPr>
    <w:rPr>
      <w:rFonts w:ascii="宋体" w:hAnsi="宋体"/>
      <w:sz w:val="20"/>
      <w:szCs w:val="21"/>
    </w:rPr>
  </w:style>
  <w:style w:type="paragraph" w:styleId="1349" w:customStyle="1">
    <w:name w:val="Char Char13"/>
    <w:basedOn w:val="885"/>
    <w:uiPriority w:val="0"/>
    <w:qFormat/>
    <w:pPr>
      <w:jc w:val="left"/>
      <w:spacing w:after="160" w:line="240" w:lineRule="exact"/>
      <w:widowControl/>
    </w:pPr>
    <w:rPr>
      <w:rFonts w:ascii="Verdana" w:hAnsi="Verdana" w:eastAsia="仿宋_GB2312"/>
      <w:sz w:val="24"/>
      <w:szCs w:val="20"/>
      <w:lang w:eastAsia="en-US"/>
    </w:rPr>
  </w:style>
  <w:style w:type="paragraph" w:styleId="1350" w:customStyle="1">
    <w:name w:val="Char Char4"/>
    <w:basedOn w:val="885"/>
    <w:uiPriority w:val="0"/>
    <w:qFormat/>
    <w:rPr>
      <w:rFonts w:ascii="Tahoma" w:hAnsi="Tahoma"/>
      <w:sz w:val="24"/>
      <w:szCs w:val="20"/>
    </w:rPr>
  </w:style>
  <w:style w:type="paragraph" w:styleId="1351" w:customStyle="1">
    <w:name w:val="Char4"/>
    <w:basedOn w:val="885"/>
    <w:uiPriority w:val="0"/>
    <w:qFormat/>
  </w:style>
  <w:style w:type="paragraph" w:styleId="1352" w:customStyle="1">
    <w:name w:val="Char Char1 Char Char Char Char Char Char Char Char Char Char3"/>
    <w:basedOn w:val="885"/>
    <w:uiPriority w:val="0"/>
    <w:qFormat/>
    <w:pPr>
      <w:jc w:val="left"/>
      <w:spacing w:after="160" w:line="240" w:lineRule="exact"/>
      <w:widowControl/>
    </w:pPr>
    <w:rPr>
      <w:rFonts w:ascii="Verdana" w:hAnsi="Verdana" w:eastAsia="仿宋_GB2312"/>
      <w:sz w:val="24"/>
      <w:szCs w:val="20"/>
      <w:lang w:eastAsia="en-US"/>
    </w:rPr>
  </w:style>
  <w:style w:type="paragraph" w:styleId="1353" w:customStyle="1">
    <w:name w:val="Char Char Char Char Char Char Char4"/>
    <w:basedOn w:val="885"/>
    <w:uiPriority w:val="0"/>
    <w:qFormat/>
    <w:pPr>
      <w:ind w:left="432" w:hanging="432"/>
      <w:tabs>
        <w:tab w:val="left" w:pos="432" w:leader="none"/>
      </w:tabs>
    </w:pPr>
    <w:rPr>
      <w:rFonts w:ascii="Tahoma" w:hAnsi="Tahoma"/>
      <w:sz w:val="24"/>
      <w:szCs w:val="20"/>
    </w:rPr>
  </w:style>
  <w:style w:type="paragraph" w:styleId="1354" w:customStyle="1">
    <w:name w:val="纯文本4"/>
    <w:basedOn w:val="885"/>
    <w:uiPriority w:val="0"/>
    <w:qFormat/>
    <w:rPr>
      <w:rFonts w:ascii="宋体" w:hAnsi="Courier New" w:eastAsia="楷体_GB2312"/>
      <w:sz w:val="26"/>
      <w:szCs w:val="20"/>
    </w:rPr>
  </w:style>
  <w:style w:type="paragraph" w:styleId="1355" w:customStyle="1">
    <w:name w:val="_Style 2"/>
    <w:basedOn w:val="885"/>
    <w:uiPriority w:val="0"/>
    <w:qFormat/>
    <w:pPr>
      <w:ind w:firstLine="420"/>
    </w:pPr>
    <w:rPr>
      <w:rFonts w:ascii="Calibri" w:hAnsi="Calibri" w:cs="Calibri"/>
      <w:szCs w:val="21"/>
    </w:rPr>
  </w:style>
  <w:style w:type="character" w:styleId="1356" w:customStyle="1">
    <w:name w:val="表正文 Char1"/>
    <w:uiPriority w:val="0"/>
    <w:qFormat/>
    <w:rPr>
      <w:rFonts w:eastAsia="楷体_GB2312"/>
      <w:sz w:val="24"/>
      <w:lang w:val="en-US" w:eastAsia="zh-CN" w:bidi="ar-SA"/>
    </w:rPr>
  </w:style>
  <w:style w:type="paragraph" w:styleId="1357" w:customStyle="1">
    <w:name w:val="纯文本5"/>
    <w:basedOn w:val="885"/>
    <w:uiPriority w:val="0"/>
    <w:qFormat/>
    <w:rPr>
      <w:rFonts w:ascii="宋体" w:hAnsi="Courier New"/>
    </w:rPr>
  </w:style>
  <w:style w:type="paragraph" w:styleId="1358" w:customStyle="1">
    <w:name w:val="正文（缩进）"/>
    <w:basedOn w:val="885"/>
    <w:uiPriority w:val="0"/>
    <w:unhideWhenUsed/>
    <w:qFormat/>
    <w:pPr>
      <w:ind w:firstLine="200"/>
    </w:pPr>
    <w:rPr>
      <w:rFonts w:hint="eastAsia" w:ascii="宋体"/>
      <w:szCs w:val="21"/>
    </w:rPr>
  </w:style>
  <w:style w:type="paragraph" w:styleId="1359" w:customStyle="1">
    <w:name w:val="条款样式"/>
    <w:uiPriority w:val="0"/>
    <w:qFormat/>
    <w:pPr>
      <w:contextualSpacing/>
      <w:ind w:left="771" w:hanging="771"/>
      <w:spacing w:line="440" w:lineRule="exact"/>
      <w:widowControl w:val="off"/>
      <w:tabs>
        <w:tab w:val="left" w:pos="770" w:leader="none"/>
      </w:tabs>
    </w:pPr>
    <w:rPr>
      <w:rFonts w:ascii="Times New Roman" w:hAnsi="Times New Roman" w:eastAsia="宋体" w:cs="Times New Roman"/>
      <w:sz w:val="21"/>
      <w:szCs w:val="22"/>
      <w:lang w:val="en-US" w:eastAsia="zh-CN" w:bidi="ar-SA"/>
    </w:rPr>
  </w:style>
  <w:style w:type="character" w:styleId="1360" w:customStyle="1">
    <w:name w:val="15"/>
    <w:uiPriority w:val="0"/>
    <w:qFormat/>
    <w:rPr>
      <w:rFonts w:hint="eastAsia" w:ascii="宋体" w:hAnsi="宋体" w:eastAsia="宋体"/>
      <w:color w:val="000000"/>
      <w:sz w:val="24"/>
      <w:szCs w:val="24"/>
    </w:rPr>
  </w:style>
  <w:style w:type="table" w:styleId="1361" w:customStyle="1">
    <w:name w:val="Table Normal"/>
    <w:uiPriority w:val="0"/>
    <w:unhideWhenUsed/>
    <w:qFormat/>
    <w:tblPr>
      <w:tblCellMar>
        <w:left w:w="0" w:type="dxa"/>
        <w:top w:w="0" w:type="dxa"/>
        <w:right w:w="0" w:type="dxa"/>
        <w:bottom w:w="0" w:type="dxa"/>
      </w:tblCellMar>
    </w:tblPr>
  </w:style>
  <w:style w:type="paragraph" w:styleId="1362" w:customStyle="1">
    <w:name w:val="纯文本111"/>
    <w:basedOn w:val="1103"/>
    <w:uiPriority w:val="0"/>
    <w:qFormat/>
    <w:rPr>
      <w:rFonts w:ascii="宋体" w:hAnsi="Courier New"/>
      <w:sz w:val="24"/>
      <w:szCs w:val="20"/>
    </w:rPr>
  </w:style>
  <w:style w:type="paragraph" w:styleId="1363" w:customStyle="1">
    <w:name w:val="标题 61"/>
    <w:basedOn w:val="1103"/>
    <w:next w:val="1103"/>
    <w:uiPriority w:val="0"/>
    <w:qFormat/>
    <w:pPr>
      <w:ind w:left="1264"/>
      <w:outlineLvl w:val="5"/>
    </w:pPr>
    <w:rPr>
      <w:b/>
      <w:bCs/>
    </w:rPr>
  </w:style>
  <w:style w:type="paragraph" w:styleId="1364" w:customStyle="1">
    <w:name w:val="标题 31"/>
    <w:basedOn w:val="1103"/>
    <w:next w:val="1103"/>
    <w:uiPriority w:val="0"/>
    <w:qFormat/>
    <w:pPr>
      <w:numPr>
        <w:ilvl w:val="2"/>
        <w:numId w:val="5"/>
      </w:numPr>
      <w:keepLines/>
      <w:keepNext/>
      <w:spacing w:before="120" w:after="120" w:line="300" w:lineRule="auto"/>
      <w:outlineLvl w:val="2"/>
    </w:pPr>
    <w:rPr>
      <w:b/>
      <w:bCs/>
      <w:sz w:val="30"/>
      <w:szCs w:val="32"/>
    </w:rPr>
  </w:style>
  <w:style w:type="paragraph" w:styleId="1365" w:customStyle="1">
    <w:name w:val="题注1"/>
    <w:basedOn w:val="1103"/>
    <w:next w:val="1103"/>
    <w:uiPriority w:val="0"/>
    <w:qFormat/>
    <w:rPr>
      <w:rFonts w:ascii="Arial" w:hAnsi="Arial" w:eastAsia="黑体"/>
      <w:sz w:val="20"/>
      <w:szCs w:val="20"/>
      <w:lang w:eastAsia="en-US"/>
    </w:rPr>
  </w:style>
  <w:style w:type="paragraph" w:styleId="1366" w:customStyle="1">
    <w:name w:val="正文文本 31"/>
    <w:basedOn w:val="1103"/>
    <w:uiPriority w:val="0"/>
    <w:qFormat/>
    <w:rPr>
      <w:rFonts w:ascii="宋体"/>
      <w:sz w:val="28"/>
      <w:szCs w:val="20"/>
    </w:rPr>
  </w:style>
  <w:style w:type="paragraph" w:styleId="1367" w:customStyle="1">
    <w:name w:val="页眉1"/>
    <w:basedOn w:val="1103"/>
    <w:uiPriority w:val="0"/>
    <w:qFormat/>
    <w:pPr>
      <w:jc w:val="center"/>
      <w:tabs>
        <w:tab w:val="center" w:pos="4153" w:leader="none"/>
        <w:tab w:val="right" w:pos="8306" w:leader="none"/>
      </w:tabs>
      <w:pBdr>
        <w:bottom w:val="single" w:color="000000" w:sz="6" w:space="1"/>
      </w:pBdr>
    </w:pPr>
    <w:rPr>
      <w:sz w:val="18"/>
      <w:szCs w:val="18"/>
    </w:rPr>
  </w:style>
  <w:style w:type="paragraph" w:styleId="1368" w:customStyle="1">
    <w:name w:val="页脚1"/>
    <w:basedOn w:val="1103"/>
    <w:uiPriority w:val="0"/>
    <w:qFormat/>
    <w:pPr>
      <w:jc w:val="left"/>
      <w:tabs>
        <w:tab w:val="center" w:pos="4153" w:leader="none"/>
        <w:tab w:val="right" w:pos="8306" w:leader="none"/>
      </w:tabs>
    </w:pPr>
    <w:rPr>
      <w:sz w:val="18"/>
      <w:szCs w:val="20"/>
    </w:rPr>
  </w:style>
  <w:style w:type="paragraph" w:styleId="1369" w:customStyle="1">
    <w:name w:val="正文111"/>
    <w:next w:val="1106"/>
    <w:uiPriority w:val="0"/>
    <w:qFormat/>
    <w:pPr>
      <w:jc w:val="both"/>
      <w:widowControl w:val="off"/>
    </w:pPr>
    <w:rPr>
      <w:rFonts w:ascii="Times New Roman" w:hAnsi="Times New Roman" w:eastAsia="宋体" w:cs="Times New Roman"/>
      <w:sz w:val="21"/>
      <w:szCs w:val="24"/>
      <w:lang w:val="en-US" w:eastAsia="zh-CN" w:bidi="ar-SA"/>
    </w:rPr>
  </w:style>
  <w:style w:type="paragraph" w:styleId="1370" w:customStyle="1">
    <w:name w:val="修订1"/>
    <w:uiPriority w:val="99"/>
    <w:unhideWhenUsed/>
    <w:qFormat/>
    <w:rPr>
      <w:rFonts w:ascii="Times New Roman" w:hAnsi="Times New Roman" w:eastAsia="宋体" w:cs="Times New Roman"/>
      <w:sz w:val="21"/>
      <w:szCs w:val="24"/>
      <w:lang w:val="en-US" w:eastAsia="zh-CN" w:bidi="ar-SA"/>
    </w:rPr>
  </w:style>
  <w:style w:type="paragraph" w:styleId="1371" w:customStyle="1">
    <w:name w:val="列表段落"/>
    <w:basedOn w:val="885"/>
    <w:uiPriority w:val="0"/>
    <w:qFormat/>
    <w:pPr>
      <w:ind w:firstLine="420"/>
    </w:pPr>
    <w:rPr>
      <w:sz w:val="18"/>
      <w:szCs w:val="18"/>
    </w:rPr>
  </w:style>
  <w:style w:type="character" w:styleId="1372" w:customStyle="1">
    <w:name w:val="active15"/>
    <w:basedOn w:val="1114"/>
    <w:uiPriority w:val="0"/>
    <w:qFormat/>
    <w:rPr>
      <w:color w:val="ffffff"/>
      <w:shd w:val="clear" w:color="auto" w:fill="0f5bb9"/>
    </w:rPr>
  </w:style>
  <w:style w:type="character" w:styleId="1373" w:customStyle="1">
    <w:name w:val="批注框文本 Char1"/>
    <w:basedOn w:val="895"/>
    <w:link w:val="909"/>
    <w:uiPriority w:val="99"/>
    <w:semiHidden/>
    <w:qFormat/>
    <w:rPr>
      <w:sz w:val="18"/>
      <w:szCs w:val="18"/>
    </w:rPr>
  </w:style>
  <w:style w:type="paragraph" w:styleId="1374" w:customStyle="1">
    <w:name w:val="标题 111"/>
    <w:basedOn w:val="885"/>
    <w:next w:val="1102"/>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character" w:styleId="1375" w:customStyle="1">
    <w:name w:val="font11"/>
    <w:uiPriority w:val="0"/>
    <w:qFormat/>
    <w:rPr>
      <w:rFonts w:hint="eastAsia" w:ascii="宋体" w:hAnsi="宋体" w:eastAsia="宋体" w:cs="宋体"/>
      <w:color w:val="000000"/>
      <w:sz w:val="20"/>
      <w:szCs w:val="20"/>
    </w:rPr>
  </w:style>
  <w:style w:type="paragraph" w:styleId="1376" w:customStyle="1">
    <w:name w:val="Other|1"/>
    <w:basedOn w:val="1103"/>
    <w:uiPriority w:val="0"/>
    <w:qFormat/>
    <w:pPr>
      <w:spacing w:line="396" w:lineRule="exact"/>
    </w:pPr>
    <w:rPr>
      <w:lang w:val="zh-TW" w:eastAsia="zh-TW" w:bidi="zh-TW"/>
    </w:rPr>
  </w:style>
  <w:style w:type="character" w:styleId="1377" w:customStyle="1">
    <w:name w:val="first-child"/>
    <w:basedOn w:val="895"/>
    <w:uiPriority w:val="0"/>
    <w:qFormat/>
  </w:style>
  <w:style w:type="character" w:styleId="1378" w:customStyle="1">
    <w:name w:val="layui-layer-tabnow"/>
    <w:basedOn w:val="895"/>
    <w:uiPriority w:val="0"/>
    <w:qFormat/>
    <w:rPr>
      <w:shd w:val="clear" w:color="auto" w:fill="ffffff"/>
    </w:rPr>
  </w:style>
  <w:style w:type="character" w:styleId="1379" w:customStyle="1">
    <w:name w:val="hover6"/>
    <w:basedOn w:val="895"/>
    <w:uiPriority w:val="0"/>
    <w:qFormat/>
    <w:rPr>
      <w:color w:val="5fb878"/>
    </w:rPr>
  </w:style>
  <w:style w:type="character" w:styleId="1380" w:customStyle="1">
    <w:name w:val="hover7"/>
    <w:basedOn w:val="895"/>
    <w:uiPriority w:val="0"/>
    <w:qFormat/>
    <w:rPr>
      <w:color w:val="5fb878"/>
    </w:rPr>
  </w:style>
  <w:style w:type="character" w:styleId="1381" w:customStyle="1">
    <w:name w:val="hover8"/>
    <w:basedOn w:val="895"/>
    <w:uiPriority w:val="0"/>
    <w:qFormat/>
    <w:rPr>
      <w:color w:val="ffffff"/>
    </w:rPr>
  </w:style>
  <w:style w:type="character" w:styleId="1382" w:customStyle="1">
    <w:name w:val="webupload"/>
    <w:basedOn w:val="895"/>
    <w:uiPriority w:val="0"/>
    <w:qFormat/>
    <w:rPr>
      <w:color w:val="4e7adb"/>
    </w:rPr>
  </w:style>
  <w:style w:type="paragraph" w:styleId="1383" w:customStyle="1">
    <w:name w:val="Table Text"/>
    <w:basedOn w:val="885"/>
    <w:uiPriority w:val="0"/>
    <w:semiHidden/>
    <w:qFormat/>
    <w:rPr>
      <w:rFonts w:ascii="Arial" w:hAnsi="Arial" w:eastAsia="Arial" w:cs="Arial"/>
      <w:szCs w:val="21"/>
      <w:lang w:eastAsia="en-US"/>
    </w:rPr>
  </w:style>
  <w:style w:type="character" w:styleId="1384" w:customStyle="1">
    <w:name w:val="标题 1 Char2"/>
    <w:link w:val="886"/>
    <w:uiPriority w:val="0"/>
    <w:qFormat/>
    <w:rPr>
      <w:rFonts w:ascii="宋体" w:cs="宋体"/>
      <w:b/>
      <w:bCs/>
      <w:sz w:val="32"/>
      <w:szCs w:val="32"/>
    </w:rPr>
  </w:style>
  <w:style w:type="character" w:styleId="1385" w:customStyle="1">
    <w:name w:val="font31"/>
    <w:uiPriority w:val="0"/>
    <w:qFormat/>
    <w:rPr>
      <w:rFonts w:ascii="楷体_GB2312" w:eastAsia="楷体_GB2312"/>
      <w:color w:val="000000"/>
      <w:sz w:val="19"/>
      <w:szCs w:val="19"/>
    </w:rPr>
  </w:style>
  <w:style w:type="character" w:styleId="1386" w:customStyle="1">
    <w:name w:val="纯文本 Char2"/>
    <w:basedOn w:val="895"/>
    <w:link w:val="906"/>
    <w:uiPriority w:val="0"/>
    <w:rPr>
      <w:rFonts w:ascii="宋体" w:hAnsi="Courier New"/>
      <w:sz w:val="24"/>
    </w:rPr>
  </w:style>
  <w:style w:type="numbering" w:styleId="13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footer" Target="footer10.xml" /><Relationship Id="rId28" Type="http://schemas.openxmlformats.org/officeDocument/2006/relationships/image" Target="media/image1.png"/><Relationship Id="rId2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刘炜</cp:lastModifiedBy>
  <cp:revision>10</cp:revision>
  <dcterms:created xsi:type="dcterms:W3CDTF">2025-05-15T03:35:00Z</dcterms:created>
  <dcterms:modified xsi:type="dcterms:W3CDTF">2026-05-27T03:18:19Z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ECE247DE1E9A4BFDB30DE5929F77E9FD_13</vt:lpwstr>
  </property>
  <property fmtid="{D5CDD505-2E9C-101B-9397-08002B2CF9AE}" pid="4" name="KSOTemplateDocerSaveRecord">
    <vt:lpwstr>eyJoZGlkIjoiYjVjMDQxYTQ5ZTQ1MGUwOGZhYmJjM2QxYjI3N2UzNDUiLCJ1c2VySWQiOiI1MDA4NTIyODgifQ==</vt:lpwstr>
  </property>
</Properties>
</file>